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b w:val="1"/>
          <w:sz w:val="28"/>
          <w:szCs w:val="28"/>
        </w:rPr>
      </w:pPr>
      <w:r w:rsidDel="00000000" w:rsidR="00000000" w:rsidRPr="00000000">
        <w:rPr>
          <w:b w:val="1"/>
          <w:sz w:val="28"/>
          <w:szCs w:val="28"/>
          <w:rtl w:val="0"/>
        </w:rPr>
        <w:t xml:space="preserve">60300-Философия, этика және дін (60304-Дінтану) мамандығы бойынша профессор ғылыми атағына ізденуші туралы</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АНЫҚТАМА</w:t>
      </w:r>
    </w:p>
    <w:p w:rsidR="00000000" w:rsidDel="00000000" w:rsidP="00000000" w:rsidRDefault="00000000" w:rsidRPr="00000000" w14:paraId="00000003">
      <w:pPr>
        <w:jc w:val="center"/>
        <w:rPr>
          <w:b w:val="1"/>
          <w:sz w:val="28"/>
          <w:szCs w:val="28"/>
        </w:rPr>
      </w:pPr>
      <w:r w:rsidDel="00000000" w:rsidR="00000000" w:rsidRPr="00000000">
        <w:rPr>
          <w:rtl w:val="0"/>
        </w:rPr>
      </w:r>
    </w:p>
    <w:tbl>
      <w:tblPr>
        <w:tblStyle w:val="Table1"/>
        <w:tblW w:w="95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4025"/>
        <w:gridCol w:w="4945"/>
        <w:tblGridChange w:id="0">
          <w:tblGrid>
            <w:gridCol w:w="600"/>
            <w:gridCol w:w="4025"/>
            <w:gridCol w:w="4945"/>
          </w:tblGrid>
        </w:tblGridChange>
      </w:tblGrid>
      <w:tr>
        <w:trPr>
          <w:cantSplit w:val="0"/>
          <w:tblHeader w:val="0"/>
        </w:trPr>
        <w:tc>
          <w:tcPr>
            <w:shd w:fill="auto" w:val="clear"/>
          </w:tcPr>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1</w:t>
            </w:r>
          </w:p>
        </w:tc>
        <w:tc>
          <w:tcPr>
            <w:shd w:fill="auto" w:val="clear"/>
          </w:tcPr>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Тегі, аты, әкесінің аты (болған жағдайда)</w:t>
            </w:r>
          </w:p>
        </w:tc>
        <w:tc>
          <w:tcPr>
            <w:shd w:fill="auto" w:val="clear"/>
          </w:tcPr>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Керім Шамшәдин Тұрсынұлы</w:t>
            </w:r>
          </w:p>
        </w:tc>
      </w:tr>
      <w:tr>
        <w:trPr>
          <w:cantSplit w:val="0"/>
          <w:tblHeader w:val="0"/>
        </w:trPr>
        <w:tc>
          <w:tcPr>
            <w:shd w:fill="auto" w:val="clear"/>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2</w:t>
            </w:r>
          </w:p>
        </w:tc>
        <w:tc>
          <w:tcPr>
            <w:shd w:fill="auto" w:val="clear"/>
          </w:tcPr>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shd w:fill="auto" w:val="clear"/>
          </w:tcPr>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1.Филология ғылымдарының кандидаты, КД №О548866, КСРО Министрлер кеңесінің Жоғары аттестациялық комиссиясы, Москва, 13 наурыз,  1992 .</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2. Филология ғылымдарының докторы, ҒД № 0002369, ҚР Ғылым және жоғары білім министрлігі Жоғары аттестациялық комиссиясының 2001 жылғы 25 қаңтардағы шешімі(№1 хаттама)</w:t>
            </w:r>
          </w:p>
        </w:tc>
      </w:tr>
      <w:tr>
        <w:trPr>
          <w:cantSplit w:val="0"/>
          <w:tblHeader w:val="0"/>
        </w:trPr>
        <w:tc>
          <w:tcPr>
            <w:shd w:fill="auto" w:val="clear"/>
          </w:tcPr>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3</w:t>
            </w:r>
          </w:p>
        </w:tc>
        <w:tc>
          <w:tcPr>
            <w:shd w:fill="auto" w:val="clear"/>
          </w:tcPr>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Ғылыми атақ, берілген уақыты</w:t>
            </w:r>
          </w:p>
        </w:tc>
        <w:tc>
          <w:tcPr>
            <w:shd w:fill="auto" w:val="clear"/>
          </w:tcPr>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1. Доцент, ДЦ №0002035, ҚР Министрлер Кабинеті жанындағы Жоғары аттестациялық комиссиясының 1996 жылғы 20 қыркүйектегі шешімі (№19 хаттама);</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2.ҚР БжҒМ БжҒСБК2. Әдебиеттану мамандығы бойынша профессор, ПР № 0000270, ҚР БжҒМ БжҒСБК-нің 2009 жылғы 30 қазандағы (№7 хаттама) шешімі</w:t>
            </w:r>
          </w:p>
        </w:tc>
      </w:tr>
      <w:tr>
        <w:trPr>
          <w:cantSplit w:val="0"/>
          <w:tblHeader w:val="0"/>
        </w:trPr>
        <w:tc>
          <w:tcPr>
            <w:shd w:fill="auto" w:val="clear"/>
          </w:tcPr>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4</w:t>
            </w:r>
          </w:p>
        </w:tc>
        <w:tc>
          <w:tcPr>
            <w:shd w:fill="auto" w:val="clear"/>
          </w:tcPr>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Құрметті атақ, берілген уақыты</w:t>
            </w:r>
          </w:p>
        </w:tc>
        <w:tc>
          <w:tcPr>
            <w:shd w:fill="auto" w:val="clear"/>
          </w:tcPr>
          <w:p w:rsidR="00000000" w:rsidDel="00000000" w:rsidP="00000000" w:rsidRDefault="00000000" w:rsidRPr="00000000" w14:paraId="00000011">
            <w:pPr>
              <w:jc w:val="center"/>
              <w:rPr>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5</w:t>
            </w:r>
          </w:p>
        </w:tc>
        <w:tc>
          <w:tcPr>
            <w:shd w:fill="auto" w:val="clear"/>
          </w:tcPr>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Лауазымы (лауазымға тағайындалу туралы бұйрық мерзімі және нөмірі)</w:t>
            </w:r>
          </w:p>
        </w:tc>
        <w:tc>
          <w:tcPr>
            <w:shd w:fill="auto" w:val="clear"/>
          </w:tcPr>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1.2018-2025 ж. Әбу Ханифа ғылыми-зерттеу орталығының директоры, №018 а бұйрық, 2018 , 08. 09;</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2.2025 ж. 01.04-нен бастап  Халықаралық ғылыми зерттеу және инновация орталығының жетекшісі, № 010 а бұйрық,  01.04.2025</w:t>
            </w:r>
          </w:p>
        </w:tc>
      </w:tr>
      <w:tr>
        <w:trPr>
          <w:cantSplit w:val="0"/>
          <w:tblHeader w:val="0"/>
        </w:trPr>
        <w:tc>
          <w:tcPr>
            <w:shd w:fill="auto" w:val="clear"/>
          </w:tcPr>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6</w:t>
            </w:r>
          </w:p>
        </w:tc>
        <w:tc>
          <w:tcPr>
            <w:shd w:fill="auto" w:val="clear"/>
          </w:tcPr>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Ғылыми, ғылыми-педагогикалық жұмыс өтілі </w:t>
            </w:r>
          </w:p>
        </w:tc>
        <w:tc>
          <w:tcPr>
            <w:shd w:fill="auto" w:val="clear"/>
          </w:tcPr>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39 жыл</w:t>
            </w:r>
          </w:p>
        </w:tc>
      </w:tr>
      <w:tr>
        <w:trPr>
          <w:cantSplit w:val="0"/>
          <w:tblHeader w:val="0"/>
        </w:trPr>
        <w:tc>
          <w:tcPr>
            <w:shd w:fill="auto" w:val="clear"/>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7</w:t>
            </w:r>
          </w:p>
        </w:tc>
        <w:tc>
          <w:tcPr>
            <w:shd w:fill="auto" w:val="clear"/>
          </w:tcPr>
          <w:p w:rsidR="00000000" w:rsidDel="00000000" w:rsidP="00000000" w:rsidRDefault="00000000" w:rsidRPr="00000000" w14:paraId="0000001A">
            <w:pPr>
              <w:jc w:val="both"/>
              <w:rPr>
                <w:sz w:val="28"/>
                <w:szCs w:val="28"/>
              </w:rPr>
            </w:pPr>
            <w:bookmarkStart w:colFirst="0" w:colLast="0" w:name="_heading=h.mdytysmaop2e" w:id="0"/>
            <w:bookmarkEnd w:id="0"/>
            <w:r w:rsidDel="00000000" w:rsidR="00000000" w:rsidRPr="00000000">
              <w:rPr>
                <w:sz w:val="28"/>
                <w:szCs w:val="28"/>
                <w:rtl w:val="0"/>
              </w:rPr>
              <w:t xml:space="preserve">Диссертация қорғағаннан/ (доцент) ғылыми атағын алғаннан кейінгі ғылыми мақалалар, шығармашылық еңбектер саны </w:t>
            </w:r>
          </w:p>
        </w:tc>
        <w:tc>
          <w:tcPr>
            <w:shd w:fill="auto" w:val="clear"/>
          </w:tcPr>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Барлығы </w:t>
            </w:r>
            <w:r w:rsidDel="00000000" w:rsidR="00000000" w:rsidRPr="00000000">
              <w:rPr>
                <w:sz w:val="28"/>
                <w:szCs w:val="28"/>
                <w:u w:val="single"/>
                <w:rtl w:val="0"/>
              </w:rPr>
              <w:t xml:space="preserve">43</w:t>
            </w:r>
            <w:r w:rsidDel="00000000" w:rsidR="00000000" w:rsidRPr="00000000">
              <w:rPr>
                <w:sz w:val="28"/>
                <w:szCs w:val="28"/>
                <w:rtl w:val="0"/>
              </w:rPr>
              <w:t xml:space="preserve">, уәкілетті орган ұсынатын басылымдарда </w:t>
            </w:r>
            <w:r w:rsidDel="00000000" w:rsidR="00000000" w:rsidRPr="00000000">
              <w:rPr>
                <w:sz w:val="28"/>
                <w:szCs w:val="28"/>
                <w:u w:val="single"/>
                <w:rtl w:val="0"/>
              </w:rPr>
              <w:t xml:space="preserve">22,</w:t>
            </w:r>
            <w:r w:rsidDel="00000000" w:rsidR="00000000" w:rsidRPr="00000000">
              <w:rPr>
                <w:sz w:val="28"/>
                <w:szCs w:val="28"/>
                <w:rtl w:val="0"/>
              </w:rPr>
              <w:t xml:space="preserve"> Scopus (Скопус) базасындағы ғылыми журналдарда 9, Ғылыми басылымда - 10; Монография – 2.</w:t>
            </w:r>
          </w:p>
        </w:tc>
      </w:tr>
      <w:tr>
        <w:trPr>
          <w:cantSplit w:val="0"/>
          <w:tblHeader w:val="0"/>
        </w:trPr>
        <w:tc>
          <w:tcPr>
            <w:shd w:fill="auto" w:val="clear"/>
          </w:tcPr>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8</w:t>
            </w:r>
          </w:p>
        </w:tc>
        <w:tc>
          <w:tcPr>
            <w:shd w:fill="auto" w:val="clear"/>
          </w:tcPr>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Соңғы 5 жылда басылған монографиялар, оқулықтар, жеке жазылған оқу (оқу-әдістемелік) құралдар саны</w:t>
            </w:r>
          </w:p>
        </w:tc>
        <w:tc>
          <w:tcPr>
            <w:shd w:fill="auto" w:val="clear"/>
          </w:tcPr>
          <w:p w:rsidR="00000000" w:rsidDel="00000000" w:rsidP="00000000" w:rsidRDefault="00000000" w:rsidRPr="00000000" w14:paraId="0000001E">
            <w:pPr>
              <w:rPr>
                <w:sz w:val="28"/>
                <w:szCs w:val="28"/>
              </w:rPr>
            </w:pPr>
            <w:r w:rsidDel="00000000" w:rsidR="00000000" w:rsidRPr="00000000">
              <w:rPr>
                <w:sz w:val="28"/>
                <w:szCs w:val="28"/>
                <w:rtl w:val="0"/>
              </w:rPr>
              <w:t xml:space="preserve">2 монография</w:t>
            </w:r>
          </w:p>
        </w:tc>
      </w:tr>
      <w:tr>
        <w:trPr>
          <w:cantSplit w:val="0"/>
          <w:tblHeader w:val="0"/>
        </w:trPr>
        <w:tc>
          <w:tcPr>
            <w:shd w:fill="auto" w:val="clear"/>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9</w:t>
            </w:r>
          </w:p>
        </w:tc>
        <w:tc>
          <w:tcPr>
            <w:shd w:fill="auto" w:val="clear"/>
          </w:tcPr>
          <w:p w:rsidR="00000000" w:rsidDel="00000000" w:rsidP="00000000" w:rsidRDefault="00000000" w:rsidRPr="00000000" w14:paraId="00000020">
            <w:pPr>
              <w:tabs>
                <w:tab w:val="left" w:leader="none" w:pos="480"/>
              </w:tabs>
              <w:ind w:left="-30" w:firstLine="0"/>
              <w:jc w:val="both"/>
              <w:rPr>
                <w:sz w:val="28"/>
                <w:szCs w:val="28"/>
              </w:rPr>
            </w:pPr>
            <w:r w:rsidDel="00000000" w:rsidR="00000000" w:rsidRPr="00000000">
              <w:rPr>
                <w:sz w:val="28"/>
                <w:szCs w:val="28"/>
                <w:rtl w:val="0"/>
              </w:rPr>
              <w:t xml:space="preserve">Оның басшылығымен диссертация қорғаған және ғылыми дәрежесі бар тұлғалар</w:t>
            </w:r>
          </w:p>
        </w:tc>
        <w:tc>
          <w:tcPr>
            <w:shd w:fill="auto" w:val="clear"/>
          </w:tcPr>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1.Шағырбаев А.Д. –6D020600-Дінтану мамандығы бойынша философия докторы (PhD) дәрежесі (ҚР Білім және ғылым министрлігі Білім және бақылау комитетінің шешімен 2016 жылы 4  сәуірдегі №327 бұйрығы);  </w:t>
            </w:r>
          </w:p>
          <w:p w:rsidR="00000000" w:rsidDel="00000000" w:rsidP="00000000" w:rsidRDefault="00000000" w:rsidRPr="00000000" w14:paraId="00000022">
            <w:pPr>
              <w:jc w:val="both"/>
              <w:rPr>
                <w:sz w:val="28"/>
                <w:szCs w:val="28"/>
              </w:rPr>
            </w:pPr>
            <w:r w:rsidDel="00000000" w:rsidR="00000000" w:rsidRPr="00000000">
              <w:rPr>
                <w:sz w:val="28"/>
                <w:szCs w:val="28"/>
                <w:rtl w:val="0"/>
              </w:rPr>
              <w:t xml:space="preserve">2.Исахан М.Б. –6D020600-Дінтану мамандығы бойынша философия докторы (PhD) дәрежесі (ҚР Білім және ғылым министрлігі Білім және ғылым саласындағы бақылау комитетінің 2017 жылғы 15 наурыздағы №368 бұйрығы); </w:t>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3. Утпинов Н.Т. – 6D021500-Исламтану мамандығы бойынша философия докторы (PhD) дәрежесі (ҚР Білім және ғылым министрлігінің Білім және ғылым саласында сапаны қамтамасыз ету комитетінің шешіммен, 2020 жылғы 17 тамыздағы №347 бұйрығы); </w:t>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4. Аманқұл Т.О. – 6D020600-Дінтану мамандығы бойынша философия докторы (PhD) дәрежесі (ҚР Білім және ғылым министрлігінің Білім және ғылым саласында сапаны қамтамасыз ету комитетінің шешімі, 2021 жылы 24 ақпанындағы №154 бұйрығы);</w:t>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5. Мирзагелдиев Б.А. –6D020600-Дінтану мамандығы бойынша Философия докторы (PhD) дәрежесі (ҚР Ғылым және жоғары білім және министрлігінің Ғылым және жоғары білім саласында сапаны қамтамасыз ету комитеті төрағасының бұйрығы (2022 жылғы 17 қарашадағы №77 бұйрығы); </w:t>
            </w:r>
          </w:p>
          <w:p w:rsidR="00000000" w:rsidDel="00000000" w:rsidP="00000000" w:rsidRDefault="00000000" w:rsidRPr="00000000" w14:paraId="00000026">
            <w:pPr>
              <w:jc w:val="both"/>
              <w:rPr>
                <w:sz w:val="28"/>
                <w:szCs w:val="28"/>
              </w:rPr>
            </w:pPr>
            <w:r w:rsidDel="00000000" w:rsidR="00000000" w:rsidRPr="00000000">
              <w:rPr>
                <w:sz w:val="28"/>
                <w:szCs w:val="28"/>
                <w:rtl w:val="0"/>
              </w:rPr>
              <w:t xml:space="preserve">6. </w:t>
            </w:r>
            <w:r w:rsidDel="00000000" w:rsidR="00000000" w:rsidRPr="00000000">
              <w:rPr>
                <w:rFonts w:ascii="Inter" w:cs="Inter" w:eastAsia="Inter" w:hAnsi="Inter"/>
                <w:sz w:val="28"/>
                <w:szCs w:val="28"/>
                <w:rtl w:val="0"/>
              </w:rPr>
              <w:t xml:space="preserve">Шоқай Е. К –6D020600-Дінтану мамандығы бойынша философия докторы (PhD) дәрежесі(ҚР Ғылым және жоғары білім министрлігі Ғылым және жоғары білім саласында сапаны қамтамасыз ету комитеті төрағасының 2025 жылғы 16 сәуірдегі №497 бұйрығы);</w:t>
            </w:r>
            <w:r w:rsidDel="00000000" w:rsidR="00000000" w:rsidRPr="00000000">
              <w:rPr>
                <w:sz w:val="28"/>
                <w:szCs w:val="28"/>
                <w:rtl w:val="0"/>
              </w:rPr>
              <w:t xml:space="preserve"> </w:t>
            </w:r>
          </w:p>
          <w:p w:rsidR="00000000" w:rsidDel="00000000" w:rsidP="00000000" w:rsidRDefault="00000000" w:rsidRPr="00000000" w14:paraId="00000027">
            <w:pPr>
              <w:jc w:val="both"/>
              <w:rPr>
                <w:sz w:val="28"/>
                <w:szCs w:val="28"/>
              </w:rPr>
            </w:pPr>
            <w:r w:rsidDel="00000000" w:rsidR="00000000" w:rsidRPr="00000000">
              <w:rPr>
                <w:rFonts w:ascii="Inter" w:cs="Inter" w:eastAsia="Inter" w:hAnsi="Inter"/>
                <w:sz w:val="28"/>
                <w:szCs w:val="28"/>
                <w:rtl w:val="0"/>
              </w:rPr>
              <w:t xml:space="preserve">7. Илесбеков Б.О –8D02201-Исламтану білім бағдарламасы бойынша философия докторы (PhD) дәрежесі (</w:t>
            </w:r>
            <w:r w:rsidDel="00000000" w:rsidR="00000000" w:rsidRPr="00000000">
              <w:rPr>
                <w:sz w:val="28"/>
                <w:szCs w:val="28"/>
                <w:rtl w:val="0"/>
              </w:rPr>
              <w:t xml:space="preserve">ҚР Ғылым және жоғары білім министрлігі Ғылым және жоғары білім саласында сапаны қамтамасыз ету комитеті төрағасының 2025 жылғы 16 сәуірдегі № 500 бұйрығы).</w:t>
            </w:r>
          </w:p>
        </w:tc>
      </w:tr>
      <w:tr>
        <w:trPr>
          <w:cantSplit w:val="0"/>
          <w:tblHeader w:val="0"/>
        </w:trPr>
        <w:tc>
          <w:tcPr>
            <w:shd w:fill="auto" w:val="clear"/>
          </w:tcPr>
          <w:p w:rsidR="00000000" w:rsidDel="00000000" w:rsidP="00000000" w:rsidRDefault="00000000" w:rsidRPr="00000000" w14:paraId="00000028">
            <w:pPr>
              <w:jc w:val="center"/>
              <w:rPr>
                <w:sz w:val="28"/>
                <w:szCs w:val="28"/>
              </w:rPr>
            </w:pPr>
            <w:r w:rsidDel="00000000" w:rsidR="00000000" w:rsidRPr="00000000">
              <w:rPr>
                <w:sz w:val="28"/>
                <w:szCs w:val="28"/>
                <w:rtl w:val="0"/>
              </w:rPr>
              <w:t xml:space="preserve">10</w:t>
            </w:r>
          </w:p>
        </w:tc>
        <w:tc>
          <w:tcPr>
            <w:shd w:fill="auto" w:val="clear"/>
          </w:tcPr>
          <w:p w:rsidR="00000000" w:rsidDel="00000000" w:rsidP="00000000" w:rsidRDefault="00000000" w:rsidRPr="00000000" w14:paraId="00000029">
            <w:pPr>
              <w:jc w:val="both"/>
              <w:rPr>
                <w:sz w:val="28"/>
                <w:szCs w:val="28"/>
              </w:rPr>
            </w:pPr>
            <w:r w:rsidDel="00000000" w:rsidR="00000000" w:rsidRPr="00000000">
              <w:rPr>
                <w:sz w:val="28"/>
                <w:szCs w:val="28"/>
                <w:rtl w:val="0"/>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 </w:t>
            </w:r>
          </w:p>
        </w:tc>
        <w:tc>
          <w:tcPr>
            <w:shd w:fill="auto" w:val="clear"/>
          </w:tcPr>
          <w:p w:rsidR="00000000" w:rsidDel="00000000" w:rsidP="00000000" w:rsidRDefault="00000000" w:rsidRPr="00000000" w14:paraId="0000002A">
            <w:pPr>
              <w:jc w:val="center"/>
              <w:rPr>
                <w:sz w:val="28"/>
                <w:szCs w:val="28"/>
              </w:rPr>
            </w:pPr>
            <w:r w:rsidDel="00000000" w:rsidR="00000000" w:rsidRPr="00000000">
              <w:rPr>
                <w:sz w:val="28"/>
                <w:szCs w:val="28"/>
                <w:rtl w:val="0"/>
              </w:rPr>
              <w:t xml:space="preserve">-</w:t>
            </w:r>
          </w:p>
        </w:tc>
      </w:tr>
      <w:tr>
        <w:trPr>
          <w:cantSplit w:val="0"/>
          <w:tblHeader w:val="0"/>
        </w:trPr>
        <w:tc>
          <w:tcPr>
            <w:shd w:fill="auto" w:val="clear"/>
          </w:tcPr>
          <w:p w:rsidR="00000000" w:rsidDel="00000000" w:rsidP="00000000" w:rsidRDefault="00000000" w:rsidRPr="00000000" w14:paraId="0000002B">
            <w:pPr>
              <w:jc w:val="center"/>
              <w:rPr>
                <w:sz w:val="28"/>
                <w:szCs w:val="28"/>
              </w:rPr>
            </w:pPr>
            <w:r w:rsidDel="00000000" w:rsidR="00000000" w:rsidRPr="00000000">
              <w:rPr>
                <w:sz w:val="28"/>
                <w:szCs w:val="28"/>
                <w:rtl w:val="0"/>
              </w:rPr>
              <w:t xml:space="preserve">11</w:t>
            </w:r>
          </w:p>
        </w:tc>
        <w:tc>
          <w:tcPr>
            <w:shd w:fill="auto" w:val="clear"/>
          </w:tcPr>
          <w:p w:rsidR="00000000" w:rsidDel="00000000" w:rsidP="00000000" w:rsidRDefault="00000000" w:rsidRPr="00000000" w14:paraId="0000002C">
            <w:pPr>
              <w:jc w:val="both"/>
              <w:rPr>
                <w:sz w:val="28"/>
                <w:szCs w:val="28"/>
              </w:rPr>
            </w:pPr>
            <w:r w:rsidDel="00000000" w:rsidR="00000000" w:rsidRPr="00000000">
              <w:rPr>
                <w:sz w:val="28"/>
                <w:szCs w:val="28"/>
                <w:rtl w:val="0"/>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shd w:fill="auto" w:val="clear"/>
          </w:tcPr>
          <w:p w:rsidR="00000000" w:rsidDel="00000000" w:rsidP="00000000" w:rsidRDefault="00000000" w:rsidRPr="00000000" w14:paraId="0000002D">
            <w:pPr>
              <w:jc w:val="center"/>
              <w:rPr>
                <w:sz w:val="28"/>
                <w:szCs w:val="28"/>
              </w:rPr>
            </w:pPr>
            <w:r w:rsidDel="00000000" w:rsidR="00000000" w:rsidRPr="00000000">
              <w:rPr>
                <w:sz w:val="28"/>
                <w:szCs w:val="28"/>
                <w:rtl w:val="0"/>
              </w:rPr>
              <w:t xml:space="preserve">-</w:t>
            </w:r>
          </w:p>
        </w:tc>
      </w:tr>
      <w:tr>
        <w:trPr>
          <w:cantSplit w:val="0"/>
          <w:tblHeader w:val="0"/>
        </w:trPr>
        <w:tc>
          <w:tcPr>
            <w:shd w:fill="auto" w:val="clear"/>
          </w:tcPr>
          <w:p w:rsidR="00000000" w:rsidDel="00000000" w:rsidP="00000000" w:rsidRDefault="00000000" w:rsidRPr="00000000" w14:paraId="0000002E">
            <w:pPr>
              <w:jc w:val="center"/>
              <w:rPr>
                <w:sz w:val="28"/>
                <w:szCs w:val="28"/>
              </w:rPr>
            </w:pPr>
            <w:r w:rsidDel="00000000" w:rsidR="00000000" w:rsidRPr="00000000">
              <w:rPr>
                <w:sz w:val="28"/>
                <w:szCs w:val="28"/>
                <w:rtl w:val="0"/>
              </w:rPr>
              <w:t xml:space="preserve">12</w:t>
            </w:r>
          </w:p>
        </w:tc>
        <w:tc>
          <w:tcPr>
            <w:shd w:fill="auto" w:val="clear"/>
          </w:tcPr>
          <w:p w:rsidR="00000000" w:rsidDel="00000000" w:rsidP="00000000" w:rsidRDefault="00000000" w:rsidRPr="00000000" w14:paraId="0000002F">
            <w:pPr>
              <w:jc w:val="both"/>
              <w:rPr>
                <w:sz w:val="28"/>
                <w:szCs w:val="28"/>
              </w:rPr>
            </w:pPr>
            <w:r w:rsidDel="00000000" w:rsidR="00000000" w:rsidRPr="00000000">
              <w:rPr>
                <w:sz w:val="28"/>
                <w:szCs w:val="28"/>
                <w:rtl w:val="0"/>
              </w:rPr>
              <w:t xml:space="preserve">Қосымша ақпарат</w:t>
            </w:r>
          </w:p>
        </w:tc>
        <w:tc>
          <w:tcPr>
            <w:shd w:fill="auto" w:val="clear"/>
          </w:tcPr>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31">
      <w:pPr>
        <w:jc w:val="right"/>
        <w:rPr>
          <w:sz w:val="28"/>
          <w:szCs w:val="28"/>
        </w:rPr>
      </w:pPr>
      <w:r w:rsidDel="00000000" w:rsidR="00000000" w:rsidRPr="00000000">
        <w:rPr>
          <w:rtl w:val="0"/>
        </w:rPr>
      </w:r>
    </w:p>
    <w:p w:rsidR="00000000" w:rsidDel="00000000" w:rsidP="00000000" w:rsidRDefault="00000000" w:rsidRPr="00000000" w14:paraId="00000032">
      <w:pPr>
        <w:jc w:val="both"/>
        <w:rPr>
          <w:sz w:val="28"/>
          <w:szCs w:val="28"/>
        </w:rPr>
      </w:pPr>
      <w:r w:rsidDel="00000000" w:rsidR="00000000" w:rsidRPr="00000000">
        <w:rPr>
          <w:rtl w:val="0"/>
        </w:rPr>
      </w:r>
    </w:p>
    <w:p w:rsidR="00000000" w:rsidDel="00000000" w:rsidP="00000000" w:rsidRDefault="00000000" w:rsidRPr="00000000" w14:paraId="00000033">
      <w:pPr>
        <w:jc w:val="both"/>
        <w:rPr>
          <w:b w:val="1"/>
          <w:sz w:val="28"/>
          <w:szCs w:val="28"/>
        </w:rPr>
      </w:pPr>
      <w:r w:rsidDel="00000000" w:rsidR="00000000" w:rsidRPr="00000000">
        <w:rPr>
          <w:b w:val="1"/>
          <w:sz w:val="28"/>
          <w:szCs w:val="28"/>
          <w:rtl w:val="0"/>
        </w:rPr>
        <w:t xml:space="preserve">Дінтану кафедрасының меңгерушісі _____________        Рыскиева А.А.</w:t>
      </w:r>
    </w:p>
    <w:p w:rsidR="00000000" w:rsidDel="00000000" w:rsidP="00000000" w:rsidRDefault="00000000" w:rsidRPr="00000000" w14:paraId="00000034">
      <w:pPr>
        <w:rPr>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 w:name="Int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k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7">
    <w:name w:val="heading 7"/>
    <w:basedOn w:val="a"/>
    <w:next w:val="a"/>
    <w:link w:val="70"/>
    <w:uiPriority w:val="9"/>
    <w:semiHidden w:val="1"/>
    <w:unhideWhenUsed w:val="1"/>
    <w:qFormat w:val="1"/>
    <w:rsid w:val="00E6310A"/>
    <w:pPr>
      <w:keepNext w:val="1"/>
      <w:keepLines w:val="1"/>
      <w:suppressAutoHyphens w:val="0"/>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8">
    <w:name w:val="heading 8"/>
    <w:basedOn w:val="a"/>
    <w:next w:val="a"/>
    <w:link w:val="80"/>
    <w:uiPriority w:val="9"/>
    <w:semiHidden w:val="1"/>
    <w:unhideWhenUsed w:val="1"/>
    <w:qFormat w:val="1"/>
    <w:rsid w:val="00E6310A"/>
    <w:pPr>
      <w:keepNext w:val="1"/>
      <w:keepLines w:val="1"/>
      <w:suppressAutoHyphens w:val="0"/>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9">
    <w:name w:val="heading 9"/>
    <w:basedOn w:val="a"/>
    <w:next w:val="a"/>
    <w:link w:val="90"/>
    <w:uiPriority w:val="9"/>
    <w:semiHidden w:val="1"/>
    <w:unhideWhenUsed w:val="1"/>
    <w:qFormat w:val="1"/>
    <w:rsid w:val="00E6310A"/>
    <w:pPr>
      <w:keepNext w:val="1"/>
      <w:keepLines w:val="1"/>
      <w:suppressAutoHyphens w:val="0"/>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10" w:customStyle="1">
    <w:name w:val="Заголовок 1 Знак"/>
    <w:basedOn w:val="a0"/>
    <w:link w:val="1"/>
    <w:uiPriority w:val="9"/>
    <w:rsid w:val="00E6310A"/>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E6310A"/>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E6310A"/>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E6310A"/>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E6310A"/>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E6310A"/>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E6310A"/>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E6310A"/>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E6310A"/>
    <w:rPr>
      <w:rFonts w:cstheme="majorBidi" w:eastAsiaTheme="majorEastAsia"/>
      <w:color w:val="272727" w:themeColor="text1" w:themeTint="0000D8"/>
    </w:rPr>
  </w:style>
  <w:style w:type="character" w:styleId="a4" w:customStyle="1">
    <w:name w:val="Заголовок Знак"/>
    <w:basedOn w:val="a0"/>
    <w:link w:val="a3"/>
    <w:uiPriority w:val="10"/>
    <w:rsid w:val="00E6310A"/>
    <w:rPr>
      <w:rFonts w:asciiTheme="majorHAnsi" w:cstheme="majorBidi" w:eastAsiaTheme="majorEastAsia" w:hAnsiTheme="majorHAnsi"/>
      <w:spacing w:val="-10"/>
      <w:kern w:val="28"/>
      <w:sz w:val="56"/>
      <w:szCs w:val="56"/>
    </w:rPr>
  </w:style>
  <w:style w:type="character" w:styleId="a6" w:customStyle="1">
    <w:name w:val="Подзаголовок Знак"/>
    <w:basedOn w:val="a0"/>
    <w:link w:val="a5"/>
    <w:uiPriority w:val="11"/>
    <w:rsid w:val="00E6310A"/>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6310A"/>
    <w:pPr>
      <w:suppressAutoHyphens w:val="0"/>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22" w:customStyle="1">
    <w:name w:val="Цитата 2 Знак"/>
    <w:basedOn w:val="a0"/>
    <w:link w:val="21"/>
    <w:uiPriority w:val="29"/>
    <w:rsid w:val="00E6310A"/>
    <w:rPr>
      <w:i w:val="1"/>
      <w:iCs w:val="1"/>
      <w:color w:val="404040" w:themeColor="text1" w:themeTint="0000BF"/>
    </w:rPr>
  </w:style>
  <w:style w:type="paragraph" w:styleId="a7">
    <w:name w:val="List Paragraph"/>
    <w:basedOn w:val="a"/>
    <w:uiPriority w:val="34"/>
    <w:qFormat w:val="1"/>
    <w:rsid w:val="00E6310A"/>
    <w:pPr>
      <w:suppressAutoHyphens w:val="0"/>
      <w:spacing w:after="160" w:line="278" w:lineRule="auto"/>
      <w:ind w:left="720"/>
      <w:contextualSpacing w:val="1"/>
    </w:pPr>
    <w:rPr>
      <w:rFonts w:asciiTheme="minorHAnsi" w:cstheme="minorBidi" w:eastAsiaTheme="minorHAnsi" w:hAnsiTheme="minorHAnsi"/>
      <w:kern w:val="2"/>
      <w:lang w:eastAsia="en-US"/>
    </w:rPr>
  </w:style>
  <w:style w:type="character" w:styleId="a8">
    <w:name w:val="Intense Emphasis"/>
    <w:basedOn w:val="a0"/>
    <w:uiPriority w:val="21"/>
    <w:qFormat w:val="1"/>
    <w:rsid w:val="00E6310A"/>
    <w:rPr>
      <w:i w:val="1"/>
      <w:iCs w:val="1"/>
      <w:color w:val="0f4761" w:themeColor="accent1" w:themeShade="0000BF"/>
    </w:rPr>
  </w:style>
  <w:style w:type="paragraph" w:styleId="a9">
    <w:name w:val="Intense Quote"/>
    <w:basedOn w:val="a"/>
    <w:next w:val="a"/>
    <w:link w:val="aa"/>
    <w:uiPriority w:val="30"/>
    <w:qFormat w:val="1"/>
    <w:rsid w:val="00E6310A"/>
    <w:pPr>
      <w:pBdr>
        <w:top w:color="0f4761" w:space="10" w:sz="4" w:themeColor="accent1" w:themeShade="0000BF" w:val="single"/>
        <w:bottom w:color="0f4761" w:space="10" w:sz="4" w:themeColor="accent1" w:themeShade="0000BF" w:val="single"/>
      </w:pBdr>
      <w:suppressAutoHyphens w:val="0"/>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aa" w:customStyle="1">
    <w:name w:val="Выделенная цитата Знак"/>
    <w:basedOn w:val="a0"/>
    <w:link w:val="a9"/>
    <w:uiPriority w:val="30"/>
    <w:rsid w:val="00E6310A"/>
    <w:rPr>
      <w:i w:val="1"/>
      <w:iCs w:val="1"/>
      <w:color w:val="0f4761" w:themeColor="accent1" w:themeShade="0000BF"/>
    </w:rPr>
  </w:style>
  <w:style w:type="character" w:styleId="ab">
    <w:name w:val="Intense Reference"/>
    <w:basedOn w:val="a0"/>
    <w:uiPriority w:val="32"/>
    <w:qFormat w:val="1"/>
    <w:rsid w:val="00E6310A"/>
    <w:rPr>
      <w:b w:val="1"/>
      <w:bCs w:val="1"/>
      <w:smallCaps w:val="1"/>
      <w:color w:val="0f4761" w:themeColor="accent1" w:themeShade="0000BF"/>
      <w:spacing w:val="5"/>
    </w:rPr>
  </w:style>
  <w:style w:type="character" w:styleId="tlid-translation" w:customStyle="1">
    <w:name w:val="tlid-translation"/>
    <w:basedOn w:val="a0"/>
    <w:rsid w:val="001410AE"/>
  </w:style>
  <w:style w:type="paragraph" w:styleId="ac">
    <w:name w:val="Normal (Web)"/>
    <w:basedOn w:val="a"/>
    <w:uiPriority w:val="99"/>
    <w:unhideWhenUsed w:val="1"/>
    <w:rsid w:val="000664BD"/>
  </w:style>
  <w:style w:type="table" w:styleId="ad" w:customStyle="1">
    <w:basedOn w:val="TableNormal0"/>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Inter-regular.ttf"/><Relationship Id="rId4" Type="http://schemas.openxmlformats.org/officeDocument/2006/relationships/font" Target="fonts/Inter-bold.ttf"/><Relationship Id="rId5" Type="http://schemas.openxmlformats.org/officeDocument/2006/relationships/font" Target="fonts/Inter-italic.ttf"/><Relationship Id="rId6" Type="http://schemas.openxmlformats.org/officeDocument/2006/relationships/font" Target="fonts/Inter-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I6KM2Yrmgh+W2VyPLwuLUJMWQ==">CgMxLjAyDmgubWR5dHlzbWFvcDJlOAByITF4RFI1Z01KM3BOWmg5REU1Y2lvREZxNmVPbEFDN3VpOQ==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2025-05-26T03:12:00Z</dcterms:created>
  <dc:creator>Кантарбаева Жанна</dc:creator>
</cp:coreProperties>
</file>