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4064" w14:textId="77777777" w:rsidR="004737F6" w:rsidRDefault="00D11218" w:rsidP="001610AC">
      <w:pPr>
        <w:widowControl w:val="0"/>
        <w:jc w:val="right"/>
        <w:rPr>
          <w:color w:val="000000"/>
          <w:sz w:val="28"/>
          <w:szCs w:val="28"/>
        </w:rPr>
      </w:pPr>
      <w:r>
        <w:rPr>
          <w:color w:val="000000"/>
          <w:sz w:val="28"/>
          <w:szCs w:val="28"/>
        </w:rPr>
        <w:t>Ғылыми атақтар</w:t>
      </w:r>
      <w:r w:rsidR="001610AC">
        <w:rPr>
          <w:color w:val="000000"/>
          <w:sz w:val="28"/>
          <w:szCs w:val="28"/>
        </w:rPr>
        <w:t xml:space="preserve"> </w:t>
      </w:r>
      <w:r>
        <w:rPr>
          <w:color w:val="000000"/>
          <w:sz w:val="28"/>
          <w:szCs w:val="28"/>
        </w:rPr>
        <w:t>қауымдастырылған</w:t>
      </w:r>
      <w:r>
        <w:rPr>
          <w:color w:val="000000"/>
          <w:sz w:val="28"/>
          <w:szCs w:val="28"/>
        </w:rPr>
        <w:br/>
        <w:t>профессор (доцент),</w:t>
      </w:r>
      <w:r w:rsidR="001610AC">
        <w:rPr>
          <w:color w:val="000000"/>
          <w:sz w:val="28"/>
          <w:szCs w:val="28"/>
        </w:rPr>
        <w:t xml:space="preserve"> </w:t>
      </w:r>
      <w:r>
        <w:rPr>
          <w:color w:val="000000"/>
          <w:sz w:val="28"/>
          <w:szCs w:val="28"/>
        </w:rPr>
        <w:t>профессор) беру ережесіне</w:t>
      </w:r>
      <w:r>
        <w:rPr>
          <w:color w:val="000000"/>
          <w:sz w:val="28"/>
          <w:szCs w:val="28"/>
        </w:rPr>
        <w:br/>
        <w:t>1-қосымша</w:t>
      </w:r>
      <w:r w:rsidR="001610AC">
        <w:rPr>
          <w:color w:val="000000"/>
          <w:sz w:val="28"/>
          <w:szCs w:val="28"/>
        </w:rPr>
        <w:t xml:space="preserve"> </w:t>
      </w:r>
      <w:r>
        <w:rPr>
          <w:color w:val="000000"/>
          <w:sz w:val="28"/>
          <w:szCs w:val="28"/>
        </w:rPr>
        <w:t>Нысан</w:t>
      </w:r>
    </w:p>
    <w:p w14:paraId="5F1E042F" w14:textId="77777777" w:rsidR="004737F6" w:rsidRDefault="004737F6">
      <w:pPr>
        <w:widowControl w:val="0"/>
        <w:jc w:val="center"/>
        <w:rPr>
          <w:sz w:val="28"/>
          <w:szCs w:val="28"/>
        </w:rPr>
      </w:pPr>
    </w:p>
    <w:p w14:paraId="1D936055" w14:textId="77777777" w:rsidR="004737F6" w:rsidRDefault="00D11218" w:rsidP="00BA5534">
      <w:pPr>
        <w:widowControl w:val="0"/>
        <w:jc w:val="center"/>
        <w:rPr>
          <w:b/>
          <w:sz w:val="28"/>
          <w:szCs w:val="28"/>
        </w:rPr>
      </w:pPr>
      <w:r>
        <w:rPr>
          <w:b/>
          <w:sz w:val="28"/>
          <w:szCs w:val="28"/>
        </w:rPr>
        <w:t xml:space="preserve">60300 – Философия, этика және </w:t>
      </w:r>
      <w:r w:rsidRPr="006B552F">
        <w:rPr>
          <w:b/>
          <w:sz w:val="28"/>
          <w:szCs w:val="28"/>
        </w:rPr>
        <w:t>дін (</w:t>
      </w:r>
      <w:r w:rsidR="00BA5534">
        <w:rPr>
          <w:b/>
          <w:sz w:val="28"/>
          <w:szCs w:val="28"/>
        </w:rPr>
        <w:t>60304-Дінтану</w:t>
      </w:r>
      <w:r w:rsidRPr="006B552F">
        <w:rPr>
          <w:b/>
          <w:sz w:val="28"/>
          <w:szCs w:val="28"/>
        </w:rPr>
        <w:t xml:space="preserve">) </w:t>
      </w:r>
      <w:r>
        <w:rPr>
          <w:b/>
          <w:sz w:val="28"/>
          <w:szCs w:val="28"/>
        </w:rPr>
        <w:t>мамандығы бойынша профессор ғылыми атағын ізденуші туралы</w:t>
      </w:r>
    </w:p>
    <w:p w14:paraId="39E36DE1" w14:textId="77777777" w:rsidR="004737F6" w:rsidRDefault="00D11218">
      <w:pPr>
        <w:jc w:val="center"/>
        <w:rPr>
          <w:b/>
          <w:sz w:val="28"/>
          <w:szCs w:val="28"/>
        </w:rPr>
      </w:pPr>
      <w:r>
        <w:rPr>
          <w:b/>
          <w:sz w:val="28"/>
          <w:szCs w:val="28"/>
        </w:rPr>
        <w:t>АНЫҚТАМА</w:t>
      </w:r>
    </w:p>
    <w:p w14:paraId="64FB11C6" w14:textId="77777777" w:rsidR="004737F6" w:rsidRDefault="004737F6">
      <w:pPr>
        <w:jc w:val="center"/>
        <w:rPr>
          <w:b/>
          <w:sz w:val="28"/>
          <w:szCs w:val="28"/>
        </w:rPr>
      </w:pPr>
    </w:p>
    <w:tbl>
      <w:tblPr>
        <w:tblStyle w:val="ad"/>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4025"/>
        <w:gridCol w:w="4945"/>
      </w:tblGrid>
      <w:tr w:rsidR="004737F6" w14:paraId="0A0D2664" w14:textId="77777777" w:rsidTr="001610AC">
        <w:tc>
          <w:tcPr>
            <w:tcW w:w="600" w:type="dxa"/>
            <w:shd w:val="clear" w:color="auto" w:fill="auto"/>
          </w:tcPr>
          <w:p w14:paraId="0EE5CC3F" w14:textId="77777777" w:rsidR="004737F6" w:rsidRDefault="00D11218">
            <w:pPr>
              <w:jc w:val="center"/>
              <w:rPr>
                <w:sz w:val="28"/>
                <w:szCs w:val="28"/>
              </w:rPr>
            </w:pPr>
            <w:r>
              <w:rPr>
                <w:sz w:val="28"/>
                <w:szCs w:val="28"/>
              </w:rPr>
              <w:t>1</w:t>
            </w:r>
          </w:p>
        </w:tc>
        <w:tc>
          <w:tcPr>
            <w:tcW w:w="4025" w:type="dxa"/>
            <w:shd w:val="clear" w:color="auto" w:fill="auto"/>
          </w:tcPr>
          <w:p w14:paraId="20D95545" w14:textId="77777777" w:rsidR="004737F6" w:rsidRDefault="00D11218">
            <w:pPr>
              <w:jc w:val="both"/>
              <w:rPr>
                <w:sz w:val="28"/>
                <w:szCs w:val="28"/>
              </w:rPr>
            </w:pPr>
            <w:r>
              <w:rPr>
                <w:sz w:val="28"/>
                <w:szCs w:val="28"/>
              </w:rPr>
              <w:t>Тегі, аты, әкесінің аты (болған жағдайда)</w:t>
            </w:r>
          </w:p>
        </w:tc>
        <w:tc>
          <w:tcPr>
            <w:tcW w:w="4945" w:type="dxa"/>
            <w:shd w:val="clear" w:color="auto" w:fill="auto"/>
          </w:tcPr>
          <w:p w14:paraId="4CA8FD60" w14:textId="77777777" w:rsidR="004737F6" w:rsidRDefault="00D11218">
            <w:pPr>
              <w:jc w:val="both"/>
              <w:rPr>
                <w:sz w:val="28"/>
                <w:szCs w:val="28"/>
              </w:rPr>
            </w:pPr>
            <w:r>
              <w:rPr>
                <w:sz w:val="28"/>
                <w:szCs w:val="28"/>
              </w:rPr>
              <w:t>Альмухаметов Алий Рауфович</w:t>
            </w:r>
          </w:p>
        </w:tc>
      </w:tr>
      <w:tr w:rsidR="004737F6" w14:paraId="15444C6D" w14:textId="77777777" w:rsidTr="001610AC">
        <w:tc>
          <w:tcPr>
            <w:tcW w:w="600" w:type="dxa"/>
            <w:shd w:val="clear" w:color="auto" w:fill="auto"/>
          </w:tcPr>
          <w:p w14:paraId="35868DFD" w14:textId="77777777" w:rsidR="004737F6" w:rsidRDefault="00D11218">
            <w:pPr>
              <w:jc w:val="center"/>
              <w:rPr>
                <w:sz w:val="28"/>
                <w:szCs w:val="28"/>
              </w:rPr>
            </w:pPr>
            <w:r>
              <w:rPr>
                <w:sz w:val="28"/>
                <w:szCs w:val="28"/>
              </w:rPr>
              <w:t>2</w:t>
            </w:r>
          </w:p>
        </w:tc>
        <w:tc>
          <w:tcPr>
            <w:tcW w:w="4025" w:type="dxa"/>
            <w:shd w:val="clear" w:color="auto" w:fill="auto"/>
          </w:tcPr>
          <w:p w14:paraId="0601FD94" w14:textId="77777777" w:rsidR="004737F6" w:rsidRDefault="00D11218">
            <w:pPr>
              <w:jc w:val="both"/>
              <w:rPr>
                <w:sz w:val="28"/>
                <w:szCs w:val="28"/>
              </w:rPr>
            </w:pPr>
            <w:r>
              <w:rPr>
                <w:sz w:val="28"/>
                <w:szCs w:val="28"/>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45" w:type="dxa"/>
            <w:shd w:val="clear" w:color="auto" w:fill="auto"/>
          </w:tcPr>
          <w:p w14:paraId="1569C201" w14:textId="77777777" w:rsidR="004737F6" w:rsidRDefault="00D11218">
            <w:pPr>
              <w:jc w:val="both"/>
              <w:rPr>
                <w:sz w:val="28"/>
                <w:szCs w:val="28"/>
              </w:rPr>
            </w:pPr>
            <w:r>
              <w:rPr>
                <w:sz w:val="28"/>
                <w:szCs w:val="28"/>
              </w:rPr>
              <w:t>Философия ғылымдарының кандидаты, ҒК №0</w:t>
            </w:r>
            <w:r w:rsidR="00BA5534">
              <w:rPr>
                <w:sz w:val="28"/>
                <w:szCs w:val="28"/>
              </w:rPr>
              <w:t>0</w:t>
            </w:r>
            <w:r>
              <w:rPr>
                <w:sz w:val="28"/>
                <w:szCs w:val="28"/>
              </w:rPr>
              <w:t>01341. №1 хаттама 21.01.2008ж. ҚР БжҒМ БжҒСБК</w:t>
            </w:r>
          </w:p>
        </w:tc>
      </w:tr>
      <w:tr w:rsidR="004737F6" w14:paraId="790AB86F" w14:textId="77777777" w:rsidTr="001610AC">
        <w:tc>
          <w:tcPr>
            <w:tcW w:w="600" w:type="dxa"/>
            <w:shd w:val="clear" w:color="auto" w:fill="auto"/>
          </w:tcPr>
          <w:p w14:paraId="78349D94" w14:textId="77777777" w:rsidR="004737F6" w:rsidRDefault="00D11218">
            <w:pPr>
              <w:jc w:val="center"/>
              <w:rPr>
                <w:sz w:val="28"/>
                <w:szCs w:val="28"/>
              </w:rPr>
            </w:pPr>
            <w:r>
              <w:rPr>
                <w:sz w:val="28"/>
                <w:szCs w:val="28"/>
              </w:rPr>
              <w:t>3</w:t>
            </w:r>
          </w:p>
        </w:tc>
        <w:tc>
          <w:tcPr>
            <w:tcW w:w="4025" w:type="dxa"/>
            <w:shd w:val="clear" w:color="auto" w:fill="auto"/>
          </w:tcPr>
          <w:p w14:paraId="158E2882" w14:textId="77777777" w:rsidR="004737F6" w:rsidRDefault="00D11218">
            <w:pPr>
              <w:jc w:val="both"/>
              <w:rPr>
                <w:sz w:val="28"/>
                <w:szCs w:val="28"/>
              </w:rPr>
            </w:pPr>
            <w:r>
              <w:rPr>
                <w:sz w:val="28"/>
                <w:szCs w:val="28"/>
              </w:rPr>
              <w:t>Ғылыми атақ, берілген уақыты</w:t>
            </w:r>
          </w:p>
        </w:tc>
        <w:tc>
          <w:tcPr>
            <w:tcW w:w="4945" w:type="dxa"/>
            <w:shd w:val="clear" w:color="auto" w:fill="auto"/>
          </w:tcPr>
          <w:p w14:paraId="09B4D2E1" w14:textId="77777777" w:rsidR="004737F6" w:rsidRDefault="00D11218">
            <w:pPr>
              <w:jc w:val="both"/>
              <w:rPr>
                <w:sz w:val="28"/>
                <w:szCs w:val="28"/>
              </w:rPr>
            </w:pPr>
            <w:r>
              <w:rPr>
                <w:sz w:val="28"/>
                <w:szCs w:val="28"/>
              </w:rPr>
              <w:t>Философия мамандығы бойынша доцент, ДЦ №0002044. №3 хаттама 31.03.2011ж. ҚР БжҒМ БжҒСБК</w:t>
            </w:r>
          </w:p>
        </w:tc>
      </w:tr>
      <w:tr w:rsidR="004737F6" w14:paraId="1835AA1B" w14:textId="77777777" w:rsidTr="001610AC">
        <w:tc>
          <w:tcPr>
            <w:tcW w:w="600" w:type="dxa"/>
            <w:shd w:val="clear" w:color="auto" w:fill="auto"/>
          </w:tcPr>
          <w:p w14:paraId="2B526B18" w14:textId="77777777" w:rsidR="004737F6" w:rsidRDefault="00D11218">
            <w:pPr>
              <w:jc w:val="center"/>
              <w:rPr>
                <w:sz w:val="28"/>
                <w:szCs w:val="28"/>
              </w:rPr>
            </w:pPr>
            <w:r>
              <w:rPr>
                <w:sz w:val="28"/>
                <w:szCs w:val="28"/>
              </w:rPr>
              <w:t>4</w:t>
            </w:r>
          </w:p>
        </w:tc>
        <w:tc>
          <w:tcPr>
            <w:tcW w:w="4025" w:type="dxa"/>
            <w:shd w:val="clear" w:color="auto" w:fill="auto"/>
          </w:tcPr>
          <w:p w14:paraId="13E3396F" w14:textId="77777777" w:rsidR="004737F6" w:rsidRDefault="00D11218">
            <w:pPr>
              <w:jc w:val="both"/>
              <w:rPr>
                <w:sz w:val="28"/>
                <w:szCs w:val="28"/>
              </w:rPr>
            </w:pPr>
            <w:r>
              <w:rPr>
                <w:sz w:val="28"/>
                <w:szCs w:val="28"/>
              </w:rPr>
              <w:t>Құрметті атақ, берілген уақыты</w:t>
            </w:r>
          </w:p>
        </w:tc>
        <w:tc>
          <w:tcPr>
            <w:tcW w:w="4945" w:type="dxa"/>
            <w:shd w:val="clear" w:color="auto" w:fill="auto"/>
          </w:tcPr>
          <w:p w14:paraId="0F1F1644" w14:textId="0F0DE060" w:rsidR="004737F6" w:rsidRDefault="00D11BE4" w:rsidP="00286167">
            <w:pPr>
              <w:jc w:val="both"/>
              <w:rPr>
                <w:sz w:val="28"/>
                <w:szCs w:val="28"/>
              </w:rPr>
            </w:pPr>
            <w:r>
              <w:rPr>
                <w:sz w:val="28"/>
                <w:szCs w:val="28"/>
              </w:rPr>
              <w:t>Қазақстан Республикасы президентінің</w:t>
            </w:r>
            <w:r w:rsidR="00286167" w:rsidRPr="00286167">
              <w:rPr>
                <w:sz w:val="28"/>
                <w:szCs w:val="28"/>
              </w:rPr>
              <w:t xml:space="preserve"> </w:t>
            </w:r>
            <w:r w:rsidR="00286167">
              <w:rPr>
                <w:sz w:val="28"/>
                <w:szCs w:val="28"/>
              </w:rPr>
              <w:t>«Құрмет грамотасы». 05.12.2014 жылғы Жарлық.</w:t>
            </w:r>
          </w:p>
          <w:p w14:paraId="22658E1B" w14:textId="0B4A323C" w:rsidR="002E5781" w:rsidRPr="0079227C" w:rsidRDefault="002E5781" w:rsidP="00286167">
            <w:pPr>
              <w:jc w:val="both"/>
              <w:rPr>
                <w:sz w:val="28"/>
                <w:szCs w:val="28"/>
                <w:lang w:val="ru-RU"/>
              </w:rPr>
            </w:pPr>
            <w:r>
              <w:rPr>
                <w:sz w:val="28"/>
                <w:szCs w:val="28"/>
              </w:rPr>
              <w:t>Қазақстан Республикасы Білім және Ғылым министрлігі. Министр</w:t>
            </w:r>
            <w:r w:rsidR="0079227C">
              <w:rPr>
                <w:sz w:val="28"/>
                <w:szCs w:val="28"/>
              </w:rPr>
              <w:t xml:space="preserve">                     </w:t>
            </w:r>
            <w:r>
              <w:rPr>
                <w:sz w:val="28"/>
                <w:szCs w:val="28"/>
              </w:rPr>
              <w:t xml:space="preserve"> Е. Сағадиевтің</w:t>
            </w:r>
            <w:r w:rsidR="0079227C">
              <w:rPr>
                <w:sz w:val="28"/>
                <w:szCs w:val="28"/>
              </w:rPr>
              <w:t xml:space="preserve"> «Құрмет грамотасы». Астана, 2</w:t>
            </w:r>
            <w:r w:rsidR="0079227C" w:rsidRPr="0079227C">
              <w:rPr>
                <w:sz w:val="28"/>
                <w:szCs w:val="28"/>
                <w:lang w:val="ru-RU"/>
              </w:rPr>
              <w:t>016</w:t>
            </w:r>
            <w:r w:rsidR="00065347">
              <w:rPr>
                <w:sz w:val="28"/>
                <w:szCs w:val="28"/>
                <w:lang w:val="uz-Latn-UZ"/>
              </w:rPr>
              <w:t>ж</w:t>
            </w:r>
            <w:r w:rsidR="0079227C" w:rsidRPr="0079227C">
              <w:rPr>
                <w:sz w:val="28"/>
                <w:szCs w:val="28"/>
                <w:lang w:val="ru-RU"/>
              </w:rPr>
              <w:t>.</w:t>
            </w:r>
          </w:p>
          <w:p w14:paraId="36A5F85C" w14:textId="77777777" w:rsidR="004737F6" w:rsidRDefault="00D11218">
            <w:pPr>
              <w:jc w:val="both"/>
              <w:rPr>
                <w:sz w:val="28"/>
                <w:szCs w:val="28"/>
              </w:rPr>
            </w:pPr>
            <w:r>
              <w:rPr>
                <w:sz w:val="28"/>
                <w:szCs w:val="28"/>
              </w:rPr>
              <w:t>Нұр-Мүбарак Египет ислам мәдениеті университетінің «Құрметті профессоры» атағы. Куәлік №4. 12.04.2024ж.</w:t>
            </w:r>
          </w:p>
        </w:tc>
      </w:tr>
      <w:tr w:rsidR="004737F6" w14:paraId="43AFAC75" w14:textId="77777777" w:rsidTr="001610AC">
        <w:tc>
          <w:tcPr>
            <w:tcW w:w="600" w:type="dxa"/>
            <w:shd w:val="clear" w:color="auto" w:fill="auto"/>
          </w:tcPr>
          <w:p w14:paraId="5DCB88A0" w14:textId="77777777" w:rsidR="004737F6" w:rsidRDefault="00D11218">
            <w:pPr>
              <w:jc w:val="center"/>
              <w:rPr>
                <w:sz w:val="28"/>
                <w:szCs w:val="28"/>
              </w:rPr>
            </w:pPr>
            <w:r>
              <w:rPr>
                <w:sz w:val="28"/>
                <w:szCs w:val="28"/>
              </w:rPr>
              <w:t>5</w:t>
            </w:r>
          </w:p>
        </w:tc>
        <w:tc>
          <w:tcPr>
            <w:tcW w:w="4025" w:type="dxa"/>
            <w:shd w:val="clear" w:color="auto" w:fill="auto"/>
          </w:tcPr>
          <w:p w14:paraId="64455284" w14:textId="77777777" w:rsidR="004737F6" w:rsidRDefault="00D11218">
            <w:pPr>
              <w:jc w:val="both"/>
              <w:rPr>
                <w:sz w:val="28"/>
                <w:szCs w:val="28"/>
              </w:rPr>
            </w:pPr>
            <w:r>
              <w:rPr>
                <w:sz w:val="28"/>
                <w:szCs w:val="28"/>
              </w:rPr>
              <w:t>Лауазымы (лауазымға тағайындалу туралы бұйрық мерзімі және нөмірі)</w:t>
            </w:r>
          </w:p>
        </w:tc>
        <w:tc>
          <w:tcPr>
            <w:tcW w:w="4945" w:type="dxa"/>
            <w:shd w:val="clear" w:color="auto" w:fill="auto"/>
          </w:tcPr>
          <w:p w14:paraId="527B7D79" w14:textId="77777777" w:rsidR="004737F6" w:rsidRDefault="00D11218">
            <w:pPr>
              <w:jc w:val="both"/>
              <w:rPr>
                <w:sz w:val="28"/>
                <w:szCs w:val="28"/>
              </w:rPr>
            </w:pPr>
            <w:r>
              <w:rPr>
                <w:sz w:val="28"/>
                <w:szCs w:val="28"/>
              </w:rPr>
              <w:t>01.09.2005-01.01.2006жж. Нұр-Мүбарак Египет ислам мәдениеті университеті, декан орынбасары. Бұйрық №016. 01.09.2005</w:t>
            </w:r>
          </w:p>
          <w:p w14:paraId="66897DE5" w14:textId="77777777" w:rsidR="004737F6" w:rsidRDefault="00D11218">
            <w:pPr>
              <w:jc w:val="both"/>
              <w:rPr>
                <w:sz w:val="28"/>
                <w:szCs w:val="28"/>
              </w:rPr>
            </w:pPr>
            <w:r>
              <w:rPr>
                <w:sz w:val="28"/>
                <w:szCs w:val="28"/>
              </w:rPr>
              <w:t>01.01.2006-22.09.2018жж. Нұр-Мүбарак Египет ислам мәдениеті университеті, оқу (оқу-әдістемелік) бөлімінің меңгерушісі. Бұйрық №000/01. 01.01.2006</w:t>
            </w:r>
          </w:p>
        </w:tc>
      </w:tr>
      <w:tr w:rsidR="004737F6" w14:paraId="3D0DA386" w14:textId="77777777" w:rsidTr="001610AC">
        <w:tc>
          <w:tcPr>
            <w:tcW w:w="600" w:type="dxa"/>
            <w:shd w:val="clear" w:color="auto" w:fill="auto"/>
          </w:tcPr>
          <w:p w14:paraId="4577DE6B" w14:textId="77777777" w:rsidR="004737F6" w:rsidRDefault="00D11218">
            <w:pPr>
              <w:jc w:val="center"/>
              <w:rPr>
                <w:sz w:val="28"/>
                <w:szCs w:val="28"/>
              </w:rPr>
            </w:pPr>
            <w:r>
              <w:rPr>
                <w:sz w:val="28"/>
                <w:szCs w:val="28"/>
              </w:rPr>
              <w:t>6</w:t>
            </w:r>
          </w:p>
        </w:tc>
        <w:tc>
          <w:tcPr>
            <w:tcW w:w="4025" w:type="dxa"/>
            <w:shd w:val="clear" w:color="auto" w:fill="auto"/>
          </w:tcPr>
          <w:p w14:paraId="229C8783" w14:textId="77777777" w:rsidR="004737F6" w:rsidRDefault="00D11218">
            <w:pPr>
              <w:jc w:val="both"/>
              <w:rPr>
                <w:sz w:val="28"/>
                <w:szCs w:val="28"/>
              </w:rPr>
            </w:pPr>
            <w:r>
              <w:rPr>
                <w:sz w:val="28"/>
                <w:szCs w:val="28"/>
              </w:rPr>
              <w:t xml:space="preserve">Ғылыми, ғылыми-педагогикалық жұмыс өтілі </w:t>
            </w:r>
          </w:p>
        </w:tc>
        <w:tc>
          <w:tcPr>
            <w:tcW w:w="4945" w:type="dxa"/>
            <w:shd w:val="clear" w:color="auto" w:fill="auto"/>
          </w:tcPr>
          <w:p w14:paraId="6A0781DB" w14:textId="77777777" w:rsidR="004737F6" w:rsidRDefault="00D11218">
            <w:pPr>
              <w:jc w:val="both"/>
              <w:rPr>
                <w:sz w:val="28"/>
                <w:szCs w:val="28"/>
              </w:rPr>
            </w:pPr>
            <w:r>
              <w:rPr>
                <w:sz w:val="28"/>
                <w:szCs w:val="28"/>
              </w:rPr>
              <w:t>40 жыл</w:t>
            </w:r>
          </w:p>
        </w:tc>
      </w:tr>
      <w:tr w:rsidR="004737F6" w14:paraId="19723FB3" w14:textId="77777777" w:rsidTr="001610AC">
        <w:tc>
          <w:tcPr>
            <w:tcW w:w="600" w:type="dxa"/>
            <w:shd w:val="clear" w:color="auto" w:fill="auto"/>
          </w:tcPr>
          <w:p w14:paraId="4F4713E9" w14:textId="77777777" w:rsidR="004737F6" w:rsidRDefault="00D11218">
            <w:pPr>
              <w:jc w:val="center"/>
              <w:rPr>
                <w:sz w:val="28"/>
                <w:szCs w:val="28"/>
              </w:rPr>
            </w:pPr>
            <w:r>
              <w:rPr>
                <w:sz w:val="28"/>
                <w:szCs w:val="28"/>
              </w:rPr>
              <w:lastRenderedPageBreak/>
              <w:t>7</w:t>
            </w:r>
          </w:p>
        </w:tc>
        <w:tc>
          <w:tcPr>
            <w:tcW w:w="4025" w:type="dxa"/>
            <w:shd w:val="clear" w:color="auto" w:fill="auto"/>
          </w:tcPr>
          <w:p w14:paraId="74D3AF60" w14:textId="77777777" w:rsidR="004737F6" w:rsidRDefault="00D11218">
            <w:pPr>
              <w:jc w:val="both"/>
              <w:rPr>
                <w:sz w:val="28"/>
                <w:szCs w:val="28"/>
              </w:rPr>
            </w:pPr>
            <w:r>
              <w:rPr>
                <w:sz w:val="28"/>
                <w:szCs w:val="28"/>
              </w:rPr>
              <w:t xml:space="preserve">Диссертация қорғағаннан/ (доцент) ғылыми атағын алғаннан кейінгі ғылыми мақалалар, шығармашылық еңбектер саны </w:t>
            </w:r>
          </w:p>
        </w:tc>
        <w:tc>
          <w:tcPr>
            <w:tcW w:w="4945" w:type="dxa"/>
            <w:shd w:val="clear" w:color="auto" w:fill="auto"/>
          </w:tcPr>
          <w:p w14:paraId="77FBFEFE" w14:textId="63DA4F4E" w:rsidR="004737F6" w:rsidRDefault="00D11218" w:rsidP="00EF492E">
            <w:pPr>
              <w:jc w:val="both"/>
              <w:rPr>
                <w:sz w:val="28"/>
                <w:szCs w:val="28"/>
              </w:rPr>
            </w:pPr>
            <w:r>
              <w:rPr>
                <w:sz w:val="28"/>
                <w:szCs w:val="28"/>
              </w:rPr>
              <w:t xml:space="preserve">Барлығы </w:t>
            </w:r>
            <w:r w:rsidR="003213AC">
              <w:rPr>
                <w:sz w:val="28"/>
                <w:szCs w:val="28"/>
                <w:u w:val="single"/>
              </w:rPr>
              <w:t>3</w:t>
            </w:r>
            <w:r w:rsidR="00286C5A" w:rsidRPr="00286C5A">
              <w:rPr>
                <w:sz w:val="28"/>
                <w:szCs w:val="28"/>
                <w:u w:val="single"/>
              </w:rPr>
              <w:t>5</w:t>
            </w:r>
            <w:r>
              <w:rPr>
                <w:sz w:val="28"/>
                <w:szCs w:val="28"/>
              </w:rPr>
              <w:t xml:space="preserve">, уәкілетті орган ұсынатын басылымдарда </w:t>
            </w:r>
            <w:r>
              <w:rPr>
                <w:sz w:val="28"/>
                <w:szCs w:val="28"/>
                <w:u w:val="single"/>
              </w:rPr>
              <w:t>2</w:t>
            </w:r>
            <w:r w:rsidR="00286C5A" w:rsidRPr="00286C5A">
              <w:rPr>
                <w:sz w:val="28"/>
                <w:szCs w:val="28"/>
                <w:u w:val="single"/>
              </w:rPr>
              <w:t>2</w:t>
            </w:r>
            <w:r>
              <w:rPr>
                <w:sz w:val="28"/>
                <w:szCs w:val="28"/>
              </w:rPr>
              <w:t>, Scopus (Скопус)</w:t>
            </w:r>
            <w:r w:rsidR="00EF492E">
              <w:rPr>
                <w:sz w:val="28"/>
                <w:szCs w:val="28"/>
              </w:rPr>
              <w:t xml:space="preserve"> </w:t>
            </w:r>
            <w:r>
              <w:rPr>
                <w:sz w:val="28"/>
                <w:szCs w:val="28"/>
              </w:rPr>
              <w:t>база</w:t>
            </w:r>
            <w:r w:rsidR="00EF492E">
              <w:rPr>
                <w:sz w:val="28"/>
                <w:szCs w:val="28"/>
              </w:rPr>
              <w:t>сындағы</w:t>
            </w:r>
            <w:r>
              <w:rPr>
                <w:sz w:val="28"/>
                <w:szCs w:val="28"/>
              </w:rPr>
              <w:t xml:space="preserve"> ғылыми журналдарда </w:t>
            </w:r>
            <w:r>
              <w:rPr>
                <w:sz w:val="28"/>
                <w:szCs w:val="28"/>
                <w:u w:val="single"/>
              </w:rPr>
              <w:t>6</w:t>
            </w:r>
            <w:r>
              <w:rPr>
                <w:sz w:val="28"/>
                <w:szCs w:val="28"/>
              </w:rPr>
              <w:t>, Ғылыми журналда -</w:t>
            </w:r>
            <w:r>
              <w:rPr>
                <w:sz w:val="28"/>
                <w:szCs w:val="28"/>
                <w:u w:val="single"/>
              </w:rPr>
              <w:t>1</w:t>
            </w:r>
            <w:r>
              <w:rPr>
                <w:sz w:val="28"/>
                <w:szCs w:val="28"/>
              </w:rPr>
              <w:t>; Халықаралық конференцияда -</w:t>
            </w:r>
            <w:r>
              <w:rPr>
                <w:sz w:val="28"/>
                <w:szCs w:val="28"/>
                <w:u w:val="single"/>
              </w:rPr>
              <w:t>1</w:t>
            </w:r>
            <w:r w:rsidR="00681707">
              <w:rPr>
                <w:sz w:val="28"/>
                <w:szCs w:val="28"/>
              </w:rPr>
              <w:t xml:space="preserve">; Оқулық – </w:t>
            </w:r>
            <w:r w:rsidR="00681707" w:rsidRPr="00681707">
              <w:rPr>
                <w:sz w:val="28"/>
                <w:szCs w:val="28"/>
              </w:rPr>
              <w:t xml:space="preserve">2; </w:t>
            </w:r>
            <w:r w:rsidR="00681707" w:rsidRPr="00681707">
              <w:rPr>
                <w:color w:val="000000"/>
                <w:sz w:val="28"/>
                <w:szCs w:val="28"/>
              </w:rPr>
              <w:t>Оқу құралы/оқу әдістемелік құрал – 2;</w:t>
            </w:r>
            <w:r w:rsidR="00681707" w:rsidRPr="00681707">
              <w:rPr>
                <w:b/>
                <w:bCs/>
                <w:color w:val="000000"/>
                <w:sz w:val="28"/>
                <w:szCs w:val="28"/>
              </w:rPr>
              <w:t xml:space="preserve"> </w:t>
            </w:r>
            <w:r w:rsidR="00681707" w:rsidRPr="00681707">
              <w:rPr>
                <w:color w:val="000000"/>
                <w:sz w:val="28"/>
                <w:szCs w:val="28"/>
              </w:rPr>
              <w:t>Монография – 1.</w:t>
            </w:r>
          </w:p>
        </w:tc>
      </w:tr>
      <w:tr w:rsidR="004737F6" w14:paraId="08048E55" w14:textId="77777777" w:rsidTr="001610AC">
        <w:tc>
          <w:tcPr>
            <w:tcW w:w="600" w:type="dxa"/>
            <w:shd w:val="clear" w:color="auto" w:fill="auto"/>
          </w:tcPr>
          <w:p w14:paraId="4F027F62" w14:textId="77777777" w:rsidR="004737F6" w:rsidRDefault="00D11218">
            <w:pPr>
              <w:jc w:val="center"/>
              <w:rPr>
                <w:sz w:val="28"/>
                <w:szCs w:val="28"/>
              </w:rPr>
            </w:pPr>
            <w:r>
              <w:rPr>
                <w:sz w:val="28"/>
                <w:szCs w:val="28"/>
              </w:rPr>
              <w:t>8</w:t>
            </w:r>
          </w:p>
        </w:tc>
        <w:tc>
          <w:tcPr>
            <w:tcW w:w="4025" w:type="dxa"/>
            <w:shd w:val="clear" w:color="auto" w:fill="auto"/>
          </w:tcPr>
          <w:p w14:paraId="2DDDA5C6" w14:textId="77777777" w:rsidR="004737F6" w:rsidRDefault="00D11218">
            <w:pPr>
              <w:jc w:val="both"/>
              <w:rPr>
                <w:sz w:val="28"/>
                <w:szCs w:val="28"/>
              </w:rPr>
            </w:pPr>
            <w:r>
              <w:rPr>
                <w:sz w:val="28"/>
                <w:szCs w:val="28"/>
              </w:rPr>
              <w:t>Соңғы 5 жылда басылған монографиялар, оқулықтар, жеке жазылған оқу (оқу-әдістемелік) құралдар саны</w:t>
            </w:r>
          </w:p>
        </w:tc>
        <w:tc>
          <w:tcPr>
            <w:tcW w:w="4945" w:type="dxa"/>
            <w:shd w:val="clear" w:color="auto" w:fill="auto"/>
          </w:tcPr>
          <w:p w14:paraId="2B2D683C" w14:textId="77777777" w:rsidR="004737F6" w:rsidRDefault="00D11218">
            <w:pPr>
              <w:rPr>
                <w:sz w:val="28"/>
                <w:szCs w:val="28"/>
              </w:rPr>
            </w:pPr>
            <w:r>
              <w:rPr>
                <w:sz w:val="28"/>
                <w:szCs w:val="28"/>
              </w:rPr>
              <w:t>1 монография</w:t>
            </w:r>
          </w:p>
        </w:tc>
      </w:tr>
      <w:tr w:rsidR="004737F6" w14:paraId="1B12E189" w14:textId="77777777" w:rsidTr="001610AC">
        <w:tc>
          <w:tcPr>
            <w:tcW w:w="600" w:type="dxa"/>
            <w:shd w:val="clear" w:color="auto" w:fill="auto"/>
          </w:tcPr>
          <w:p w14:paraId="31D4FFC3" w14:textId="77777777" w:rsidR="004737F6" w:rsidRDefault="00D11218">
            <w:pPr>
              <w:jc w:val="center"/>
              <w:rPr>
                <w:sz w:val="28"/>
                <w:szCs w:val="28"/>
              </w:rPr>
            </w:pPr>
            <w:r>
              <w:rPr>
                <w:sz w:val="28"/>
                <w:szCs w:val="28"/>
              </w:rPr>
              <w:t>9</w:t>
            </w:r>
          </w:p>
        </w:tc>
        <w:tc>
          <w:tcPr>
            <w:tcW w:w="4025" w:type="dxa"/>
            <w:shd w:val="clear" w:color="auto" w:fill="auto"/>
          </w:tcPr>
          <w:p w14:paraId="5364AE1C" w14:textId="77777777" w:rsidR="004737F6" w:rsidRDefault="00D11218">
            <w:pPr>
              <w:tabs>
                <w:tab w:val="left" w:pos="480"/>
              </w:tabs>
              <w:ind w:left="-30"/>
              <w:jc w:val="both"/>
              <w:rPr>
                <w:sz w:val="28"/>
                <w:szCs w:val="28"/>
              </w:rPr>
            </w:pPr>
            <w:r>
              <w:rPr>
                <w:sz w:val="28"/>
                <w:szCs w:val="28"/>
              </w:rPr>
              <w:t>Оның басшылығымен диссертация қорғаған және ғылыми дәрежесі бар тұлғалар</w:t>
            </w:r>
          </w:p>
        </w:tc>
        <w:tc>
          <w:tcPr>
            <w:tcW w:w="4945" w:type="dxa"/>
            <w:shd w:val="clear" w:color="auto" w:fill="auto"/>
          </w:tcPr>
          <w:p w14:paraId="587852F2" w14:textId="77777777" w:rsidR="004737F6" w:rsidRDefault="00D11218">
            <w:pPr>
              <w:jc w:val="center"/>
              <w:rPr>
                <w:sz w:val="28"/>
                <w:szCs w:val="28"/>
              </w:rPr>
            </w:pPr>
            <w:r>
              <w:rPr>
                <w:sz w:val="28"/>
                <w:szCs w:val="28"/>
              </w:rPr>
              <w:t>-</w:t>
            </w:r>
          </w:p>
        </w:tc>
      </w:tr>
      <w:tr w:rsidR="004737F6" w14:paraId="207C56B7" w14:textId="77777777" w:rsidTr="001610AC">
        <w:tc>
          <w:tcPr>
            <w:tcW w:w="600" w:type="dxa"/>
            <w:shd w:val="clear" w:color="auto" w:fill="auto"/>
          </w:tcPr>
          <w:p w14:paraId="3E631385" w14:textId="77777777" w:rsidR="004737F6" w:rsidRDefault="00D11218">
            <w:pPr>
              <w:jc w:val="center"/>
              <w:rPr>
                <w:sz w:val="28"/>
                <w:szCs w:val="28"/>
              </w:rPr>
            </w:pPr>
            <w:r>
              <w:rPr>
                <w:sz w:val="28"/>
                <w:szCs w:val="28"/>
              </w:rPr>
              <w:t>10</w:t>
            </w:r>
          </w:p>
        </w:tc>
        <w:tc>
          <w:tcPr>
            <w:tcW w:w="4025" w:type="dxa"/>
            <w:shd w:val="clear" w:color="auto" w:fill="auto"/>
          </w:tcPr>
          <w:p w14:paraId="79F0AB7B" w14:textId="77777777" w:rsidR="004737F6" w:rsidRDefault="00D11218">
            <w:pPr>
              <w:jc w:val="both"/>
              <w:rPr>
                <w:sz w:val="28"/>
                <w:szCs w:val="28"/>
              </w:rPr>
            </w:pPr>
            <w:r>
              <w:rPr>
                <w:sz w:val="28"/>
                <w:szCs w:val="28"/>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 </w:t>
            </w:r>
          </w:p>
        </w:tc>
        <w:tc>
          <w:tcPr>
            <w:tcW w:w="4945" w:type="dxa"/>
            <w:shd w:val="clear" w:color="auto" w:fill="auto"/>
          </w:tcPr>
          <w:p w14:paraId="20EF898B" w14:textId="77777777" w:rsidR="004737F6" w:rsidRDefault="00D11218">
            <w:pPr>
              <w:jc w:val="center"/>
              <w:rPr>
                <w:sz w:val="28"/>
                <w:szCs w:val="28"/>
              </w:rPr>
            </w:pPr>
            <w:r>
              <w:rPr>
                <w:sz w:val="28"/>
                <w:szCs w:val="28"/>
              </w:rPr>
              <w:t>-</w:t>
            </w:r>
          </w:p>
        </w:tc>
      </w:tr>
      <w:tr w:rsidR="004737F6" w14:paraId="7A14B2F3" w14:textId="77777777" w:rsidTr="001610AC">
        <w:tc>
          <w:tcPr>
            <w:tcW w:w="600" w:type="dxa"/>
            <w:shd w:val="clear" w:color="auto" w:fill="auto"/>
          </w:tcPr>
          <w:p w14:paraId="5D176D51" w14:textId="77777777" w:rsidR="004737F6" w:rsidRDefault="00D11218">
            <w:pPr>
              <w:jc w:val="center"/>
              <w:rPr>
                <w:sz w:val="28"/>
                <w:szCs w:val="28"/>
              </w:rPr>
            </w:pPr>
            <w:r>
              <w:rPr>
                <w:sz w:val="28"/>
                <w:szCs w:val="28"/>
              </w:rPr>
              <w:t>11</w:t>
            </w:r>
          </w:p>
        </w:tc>
        <w:tc>
          <w:tcPr>
            <w:tcW w:w="4025" w:type="dxa"/>
            <w:shd w:val="clear" w:color="auto" w:fill="auto"/>
          </w:tcPr>
          <w:p w14:paraId="66C99729" w14:textId="77777777" w:rsidR="004737F6" w:rsidRDefault="00D11218">
            <w:pPr>
              <w:jc w:val="both"/>
              <w:rPr>
                <w:sz w:val="28"/>
                <w:szCs w:val="28"/>
              </w:rPr>
            </w:pPr>
            <w:r>
              <w:rPr>
                <w:sz w:val="28"/>
                <w:szCs w:val="28"/>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w:t>
            </w:r>
          </w:p>
        </w:tc>
        <w:tc>
          <w:tcPr>
            <w:tcW w:w="4945" w:type="dxa"/>
            <w:shd w:val="clear" w:color="auto" w:fill="auto"/>
          </w:tcPr>
          <w:p w14:paraId="5EB8FED2" w14:textId="77777777" w:rsidR="004737F6" w:rsidRDefault="00D11218">
            <w:pPr>
              <w:jc w:val="center"/>
              <w:rPr>
                <w:sz w:val="28"/>
                <w:szCs w:val="28"/>
              </w:rPr>
            </w:pPr>
            <w:r>
              <w:rPr>
                <w:sz w:val="28"/>
                <w:szCs w:val="28"/>
              </w:rPr>
              <w:t>-</w:t>
            </w:r>
          </w:p>
        </w:tc>
      </w:tr>
      <w:tr w:rsidR="004737F6" w14:paraId="09FEA996" w14:textId="77777777" w:rsidTr="001610AC">
        <w:tc>
          <w:tcPr>
            <w:tcW w:w="600" w:type="dxa"/>
            <w:shd w:val="clear" w:color="auto" w:fill="auto"/>
          </w:tcPr>
          <w:p w14:paraId="07220D5E" w14:textId="77777777" w:rsidR="004737F6" w:rsidRDefault="00D11218">
            <w:pPr>
              <w:jc w:val="center"/>
              <w:rPr>
                <w:sz w:val="28"/>
                <w:szCs w:val="28"/>
              </w:rPr>
            </w:pPr>
            <w:r>
              <w:rPr>
                <w:sz w:val="28"/>
                <w:szCs w:val="28"/>
              </w:rPr>
              <w:t>12</w:t>
            </w:r>
          </w:p>
        </w:tc>
        <w:tc>
          <w:tcPr>
            <w:tcW w:w="4025" w:type="dxa"/>
            <w:shd w:val="clear" w:color="auto" w:fill="auto"/>
          </w:tcPr>
          <w:p w14:paraId="406770A4" w14:textId="77777777" w:rsidR="004737F6" w:rsidRDefault="00D11218">
            <w:pPr>
              <w:jc w:val="both"/>
              <w:rPr>
                <w:sz w:val="28"/>
                <w:szCs w:val="28"/>
              </w:rPr>
            </w:pPr>
            <w:r>
              <w:rPr>
                <w:sz w:val="28"/>
                <w:szCs w:val="28"/>
              </w:rPr>
              <w:t>Қосымша ақпарат</w:t>
            </w:r>
          </w:p>
        </w:tc>
        <w:tc>
          <w:tcPr>
            <w:tcW w:w="4945" w:type="dxa"/>
            <w:shd w:val="clear" w:color="auto" w:fill="auto"/>
          </w:tcPr>
          <w:p w14:paraId="5B5924D5" w14:textId="3251E7F9" w:rsidR="004737F6" w:rsidRDefault="00D11218">
            <w:pPr>
              <w:jc w:val="both"/>
              <w:rPr>
                <w:sz w:val="28"/>
                <w:szCs w:val="28"/>
              </w:rPr>
            </w:pPr>
            <w:r>
              <w:rPr>
                <w:sz w:val="28"/>
                <w:szCs w:val="28"/>
              </w:rPr>
              <w:t xml:space="preserve">1) </w:t>
            </w:r>
            <w:r w:rsidR="0079227C">
              <w:rPr>
                <w:sz w:val="28"/>
                <w:szCs w:val="28"/>
              </w:rPr>
              <w:t>Нұр-Мүбарак ЕИМУ 11.03.2013ж. №11 бұйрығына сәйкес типтік оқу бағдарламаларын жасаушы жұмыс тобының мүшесі.</w:t>
            </w:r>
          </w:p>
          <w:p w14:paraId="05E6F6BE" w14:textId="5B51FB79" w:rsidR="004737F6" w:rsidRDefault="00D11218">
            <w:pPr>
              <w:jc w:val="both"/>
              <w:rPr>
                <w:sz w:val="28"/>
                <w:szCs w:val="28"/>
              </w:rPr>
            </w:pPr>
            <w:r>
              <w:rPr>
                <w:sz w:val="28"/>
                <w:szCs w:val="28"/>
              </w:rPr>
              <w:t xml:space="preserve">2) </w:t>
            </w:r>
            <w:r w:rsidR="0079227C">
              <w:rPr>
                <w:sz w:val="28"/>
                <w:szCs w:val="28"/>
              </w:rPr>
              <w:t>Нұр-Мүбарак ЕИМУ 03.04.2015ж. №26 «Диссертациялық кеңес құрамын бекіту туралы» бұйрығына сәйкес диссертациялық кеңес мүшесі.</w:t>
            </w:r>
          </w:p>
          <w:p w14:paraId="7329374E" w14:textId="5B09072F" w:rsidR="0079227C" w:rsidRPr="00065347" w:rsidRDefault="0079227C">
            <w:pPr>
              <w:jc w:val="both"/>
              <w:rPr>
                <w:sz w:val="28"/>
                <w:szCs w:val="28"/>
              </w:rPr>
            </w:pPr>
            <w:r w:rsidRPr="0079227C">
              <w:rPr>
                <w:sz w:val="28"/>
                <w:szCs w:val="28"/>
              </w:rPr>
              <w:t xml:space="preserve">3) </w:t>
            </w:r>
            <w:r>
              <w:rPr>
                <w:sz w:val="28"/>
                <w:szCs w:val="28"/>
              </w:rPr>
              <w:t xml:space="preserve">Білім сапасын қамтамасыздандыру тәуелсіз </w:t>
            </w:r>
            <w:r w:rsidR="00065347">
              <w:rPr>
                <w:sz w:val="28"/>
                <w:szCs w:val="28"/>
              </w:rPr>
              <w:t xml:space="preserve">Қазақстандық </w:t>
            </w:r>
            <w:r>
              <w:rPr>
                <w:sz w:val="28"/>
                <w:szCs w:val="28"/>
              </w:rPr>
              <w:t>агенттігінің</w:t>
            </w:r>
            <w:r w:rsidRPr="0079227C">
              <w:rPr>
                <w:sz w:val="28"/>
                <w:szCs w:val="28"/>
              </w:rPr>
              <w:t xml:space="preserve"> </w:t>
            </w:r>
            <w:r>
              <w:rPr>
                <w:sz w:val="28"/>
                <w:szCs w:val="28"/>
              </w:rPr>
              <w:t>ұ</w:t>
            </w:r>
            <w:r w:rsidRPr="0079227C">
              <w:rPr>
                <w:sz w:val="28"/>
                <w:szCs w:val="28"/>
              </w:rPr>
              <w:t>лттық сарапшы</w:t>
            </w:r>
            <w:r>
              <w:rPr>
                <w:sz w:val="28"/>
                <w:szCs w:val="28"/>
              </w:rPr>
              <w:t>сы</w:t>
            </w:r>
            <w:r w:rsidR="00065347">
              <w:rPr>
                <w:sz w:val="28"/>
                <w:szCs w:val="28"/>
              </w:rPr>
              <w:t>.</w:t>
            </w:r>
            <w:r w:rsidR="00065347" w:rsidRPr="00065347">
              <w:rPr>
                <w:sz w:val="28"/>
                <w:szCs w:val="28"/>
              </w:rPr>
              <w:t xml:space="preserve"> </w:t>
            </w:r>
            <w:r w:rsidR="00065347">
              <w:rPr>
                <w:sz w:val="28"/>
                <w:szCs w:val="28"/>
              </w:rPr>
              <w:t>№2</w:t>
            </w:r>
            <w:r w:rsidR="00065347" w:rsidRPr="00286C5A">
              <w:rPr>
                <w:sz w:val="28"/>
                <w:szCs w:val="28"/>
              </w:rPr>
              <w:t>57</w:t>
            </w:r>
            <w:r w:rsidR="00065347">
              <w:rPr>
                <w:sz w:val="28"/>
                <w:szCs w:val="28"/>
              </w:rPr>
              <w:t xml:space="preserve">. </w:t>
            </w:r>
            <w:r w:rsidR="00065347" w:rsidRPr="00286C5A">
              <w:rPr>
                <w:sz w:val="28"/>
                <w:szCs w:val="28"/>
              </w:rPr>
              <w:t>12</w:t>
            </w:r>
            <w:r w:rsidR="00065347">
              <w:rPr>
                <w:sz w:val="28"/>
                <w:szCs w:val="28"/>
              </w:rPr>
              <w:t>.0</w:t>
            </w:r>
            <w:r w:rsidR="00065347" w:rsidRPr="00286C5A">
              <w:rPr>
                <w:sz w:val="28"/>
                <w:szCs w:val="28"/>
              </w:rPr>
              <w:t>1</w:t>
            </w:r>
            <w:r w:rsidR="00065347">
              <w:rPr>
                <w:sz w:val="28"/>
                <w:szCs w:val="28"/>
              </w:rPr>
              <w:t>.20</w:t>
            </w:r>
            <w:r w:rsidR="00065347" w:rsidRPr="00286C5A">
              <w:rPr>
                <w:sz w:val="28"/>
                <w:szCs w:val="28"/>
              </w:rPr>
              <w:t>16</w:t>
            </w:r>
            <w:r w:rsidR="00065347">
              <w:rPr>
                <w:sz w:val="28"/>
                <w:szCs w:val="28"/>
              </w:rPr>
              <w:t>ж.</w:t>
            </w:r>
          </w:p>
          <w:p w14:paraId="08949811" w14:textId="55DB3BC2" w:rsidR="004737F6" w:rsidRPr="0079227C" w:rsidRDefault="0079227C">
            <w:pPr>
              <w:jc w:val="both"/>
              <w:rPr>
                <w:sz w:val="28"/>
                <w:szCs w:val="28"/>
              </w:rPr>
            </w:pPr>
            <w:r w:rsidRPr="00286C5A">
              <w:rPr>
                <w:sz w:val="28"/>
                <w:szCs w:val="28"/>
              </w:rPr>
              <w:t>4</w:t>
            </w:r>
            <w:r w:rsidR="00D11218">
              <w:rPr>
                <w:sz w:val="28"/>
                <w:szCs w:val="28"/>
              </w:rPr>
              <w:t xml:space="preserve">) </w:t>
            </w:r>
            <w:r>
              <w:rPr>
                <w:sz w:val="28"/>
                <w:szCs w:val="28"/>
              </w:rPr>
              <w:t>ҚР ҚМДБ тексеру комиссиясының төрағасы. Куәлік №192. 07.02.2020ж.</w:t>
            </w:r>
          </w:p>
          <w:p w14:paraId="7F7570EA" w14:textId="7AC42754" w:rsidR="002E5781" w:rsidRPr="002E5781" w:rsidRDefault="0079227C">
            <w:pPr>
              <w:jc w:val="both"/>
              <w:rPr>
                <w:sz w:val="28"/>
                <w:szCs w:val="28"/>
              </w:rPr>
            </w:pPr>
            <w:r w:rsidRPr="0079227C">
              <w:rPr>
                <w:sz w:val="28"/>
                <w:szCs w:val="28"/>
              </w:rPr>
              <w:lastRenderedPageBreak/>
              <w:t>5</w:t>
            </w:r>
            <w:r w:rsidR="002E5781" w:rsidRPr="002E5781">
              <w:rPr>
                <w:sz w:val="28"/>
                <w:szCs w:val="28"/>
              </w:rPr>
              <w:t>) Қ</w:t>
            </w:r>
            <w:r w:rsidR="002E5781">
              <w:rPr>
                <w:sz w:val="28"/>
                <w:szCs w:val="28"/>
              </w:rPr>
              <w:t>Р Ақпарат және қоғамдық даму министрлігі. Вице</w:t>
            </w:r>
            <w:r w:rsidR="002E5781" w:rsidRPr="002E5781">
              <w:rPr>
                <w:sz w:val="28"/>
                <w:szCs w:val="28"/>
              </w:rPr>
              <w:t>-</w:t>
            </w:r>
            <w:r w:rsidR="002E5781">
              <w:rPr>
                <w:sz w:val="28"/>
                <w:szCs w:val="28"/>
              </w:rPr>
              <w:t>министр                          С. Егізбаевтың алғыс хаты. Нұр</w:t>
            </w:r>
            <w:r w:rsidR="002E5781" w:rsidRPr="002E5781">
              <w:rPr>
                <w:sz w:val="28"/>
                <w:szCs w:val="28"/>
              </w:rPr>
              <w:t>-</w:t>
            </w:r>
            <w:r w:rsidR="002E5781">
              <w:rPr>
                <w:sz w:val="28"/>
                <w:szCs w:val="28"/>
              </w:rPr>
              <w:t>сұлтан, 2</w:t>
            </w:r>
            <w:r w:rsidR="002E5781" w:rsidRPr="002E5781">
              <w:rPr>
                <w:sz w:val="28"/>
                <w:szCs w:val="28"/>
              </w:rPr>
              <w:t>021ж</w:t>
            </w:r>
            <w:r w:rsidR="002E5781">
              <w:rPr>
                <w:sz w:val="28"/>
                <w:szCs w:val="28"/>
              </w:rPr>
              <w:t>.</w:t>
            </w:r>
          </w:p>
          <w:p w14:paraId="479A6AC4" w14:textId="0BA5771E" w:rsidR="004737F6" w:rsidRDefault="0079227C">
            <w:pPr>
              <w:jc w:val="both"/>
              <w:rPr>
                <w:sz w:val="28"/>
                <w:szCs w:val="28"/>
              </w:rPr>
            </w:pPr>
            <w:bookmarkStart w:id="0" w:name="_heading=h.gjdgxs" w:colFirst="0" w:colLast="0"/>
            <w:bookmarkEnd w:id="0"/>
            <w:r w:rsidRPr="0079227C">
              <w:rPr>
                <w:sz w:val="28"/>
                <w:szCs w:val="28"/>
              </w:rPr>
              <w:t>6</w:t>
            </w:r>
            <w:r w:rsidR="00D11218">
              <w:rPr>
                <w:sz w:val="28"/>
                <w:szCs w:val="28"/>
              </w:rPr>
              <w:t>) Білім беру сапасын қамтамасыз ету тәуелсіз агенттігінің 27.05.2019-27.05.2022жж. жарамдылық мерзімімен білім беру сапасын бағалау бойынша сарапшы</w:t>
            </w:r>
          </w:p>
        </w:tc>
      </w:tr>
    </w:tbl>
    <w:p w14:paraId="09BCA4CE" w14:textId="77777777" w:rsidR="004737F6" w:rsidRDefault="004737F6">
      <w:pPr>
        <w:jc w:val="right"/>
        <w:rPr>
          <w:sz w:val="28"/>
          <w:szCs w:val="28"/>
        </w:rPr>
      </w:pPr>
    </w:p>
    <w:p w14:paraId="250B26FD" w14:textId="77777777" w:rsidR="001610AC" w:rsidRDefault="001610AC" w:rsidP="001610AC">
      <w:pPr>
        <w:jc w:val="both"/>
        <w:rPr>
          <w:sz w:val="28"/>
          <w:szCs w:val="28"/>
        </w:rPr>
      </w:pPr>
    </w:p>
    <w:p w14:paraId="37E37B92" w14:textId="77777777" w:rsidR="004737F6" w:rsidRDefault="00D11218" w:rsidP="001610AC">
      <w:pPr>
        <w:jc w:val="both"/>
        <w:rPr>
          <w:sz w:val="28"/>
          <w:szCs w:val="28"/>
        </w:rPr>
      </w:pPr>
      <w:r>
        <w:rPr>
          <w:sz w:val="28"/>
          <w:szCs w:val="28"/>
        </w:rPr>
        <w:t>Дінтану кафедрасының меңгерушісі</w:t>
      </w:r>
      <w:r w:rsidR="001610AC">
        <w:rPr>
          <w:sz w:val="28"/>
          <w:szCs w:val="28"/>
        </w:rPr>
        <w:t xml:space="preserve"> </w:t>
      </w:r>
      <w:r>
        <w:rPr>
          <w:sz w:val="28"/>
          <w:szCs w:val="28"/>
        </w:rPr>
        <w:t>_____________        Рыскиева А.А.</w:t>
      </w:r>
    </w:p>
    <w:p w14:paraId="2D086AB4" w14:textId="77777777" w:rsidR="004737F6" w:rsidRDefault="004737F6">
      <w:pPr>
        <w:spacing w:after="200" w:line="276" w:lineRule="auto"/>
        <w:rPr>
          <w:sz w:val="28"/>
          <w:szCs w:val="28"/>
        </w:rPr>
      </w:pPr>
    </w:p>
    <w:sectPr w:rsidR="004737F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F6"/>
    <w:rsid w:val="00065347"/>
    <w:rsid w:val="000B3D86"/>
    <w:rsid w:val="001610AC"/>
    <w:rsid w:val="00286167"/>
    <w:rsid w:val="00286C5A"/>
    <w:rsid w:val="002E5781"/>
    <w:rsid w:val="003213AC"/>
    <w:rsid w:val="004737F6"/>
    <w:rsid w:val="00681707"/>
    <w:rsid w:val="006B552F"/>
    <w:rsid w:val="0079227C"/>
    <w:rsid w:val="00BA5534"/>
    <w:rsid w:val="00D11218"/>
    <w:rsid w:val="00D11BE4"/>
    <w:rsid w:val="00EF492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5856"/>
  <w15:docId w15:val="{AB0816CF-77B4-4BA4-B88B-6F08C9A1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32E"/>
    <w:pPr>
      <w:suppressAutoHyphens/>
    </w:pPr>
    <w:rPr>
      <w:lang w:eastAsia="ar-SA"/>
    </w:rPr>
  </w:style>
  <w:style w:type="paragraph" w:styleId="1">
    <w:name w:val="heading 1"/>
    <w:basedOn w:val="a"/>
    <w:next w:val="a"/>
    <w:link w:val="10"/>
    <w:uiPriority w:val="9"/>
    <w:qFormat/>
    <w:rsid w:val="00E6310A"/>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2">
    <w:name w:val="heading 2"/>
    <w:basedOn w:val="a"/>
    <w:next w:val="a"/>
    <w:link w:val="20"/>
    <w:uiPriority w:val="9"/>
    <w:semiHidden/>
    <w:unhideWhenUsed/>
    <w:qFormat/>
    <w:rsid w:val="00E6310A"/>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3">
    <w:name w:val="heading 3"/>
    <w:basedOn w:val="a"/>
    <w:next w:val="a"/>
    <w:link w:val="30"/>
    <w:uiPriority w:val="9"/>
    <w:semiHidden/>
    <w:unhideWhenUsed/>
    <w:qFormat/>
    <w:rsid w:val="00E6310A"/>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4">
    <w:name w:val="heading 4"/>
    <w:basedOn w:val="a"/>
    <w:next w:val="a"/>
    <w:link w:val="40"/>
    <w:uiPriority w:val="9"/>
    <w:semiHidden/>
    <w:unhideWhenUsed/>
    <w:qFormat/>
    <w:rsid w:val="00E6310A"/>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rPr>
  </w:style>
  <w:style w:type="paragraph" w:styleId="5">
    <w:name w:val="heading 5"/>
    <w:basedOn w:val="a"/>
    <w:next w:val="a"/>
    <w:link w:val="50"/>
    <w:uiPriority w:val="9"/>
    <w:semiHidden/>
    <w:unhideWhenUsed/>
    <w:qFormat/>
    <w:rsid w:val="00E6310A"/>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rPr>
  </w:style>
  <w:style w:type="paragraph" w:styleId="6">
    <w:name w:val="heading 6"/>
    <w:basedOn w:val="a"/>
    <w:next w:val="a"/>
    <w:link w:val="60"/>
    <w:uiPriority w:val="9"/>
    <w:semiHidden/>
    <w:unhideWhenUsed/>
    <w:qFormat/>
    <w:rsid w:val="00E6310A"/>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0"/>
    <w:uiPriority w:val="9"/>
    <w:semiHidden/>
    <w:unhideWhenUsed/>
    <w:qFormat/>
    <w:rsid w:val="00E6310A"/>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0"/>
    <w:uiPriority w:val="9"/>
    <w:semiHidden/>
    <w:unhideWhenUsed/>
    <w:qFormat/>
    <w:rsid w:val="00E6310A"/>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0"/>
    <w:uiPriority w:val="9"/>
    <w:semiHidden/>
    <w:unhideWhenUsed/>
    <w:qFormat/>
    <w:rsid w:val="00E6310A"/>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6310A"/>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10">
    <w:name w:val="Заголовок 1 Знак"/>
    <w:basedOn w:val="a0"/>
    <w:link w:val="1"/>
    <w:uiPriority w:val="9"/>
    <w:rsid w:val="00E631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31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31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31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31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31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310A"/>
    <w:rPr>
      <w:rFonts w:eastAsiaTheme="majorEastAsia" w:cstheme="majorBidi"/>
      <w:color w:val="595959" w:themeColor="text1" w:themeTint="A6"/>
    </w:rPr>
  </w:style>
  <w:style w:type="character" w:customStyle="1" w:styleId="80">
    <w:name w:val="Заголовок 8 Знак"/>
    <w:basedOn w:val="a0"/>
    <w:link w:val="8"/>
    <w:uiPriority w:val="9"/>
    <w:semiHidden/>
    <w:rsid w:val="00E631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310A"/>
    <w:rPr>
      <w:rFonts w:eastAsiaTheme="majorEastAsia" w:cstheme="majorBidi"/>
      <w:color w:val="272727" w:themeColor="text1" w:themeTint="D8"/>
    </w:rPr>
  </w:style>
  <w:style w:type="character" w:customStyle="1" w:styleId="a4">
    <w:name w:val="Заголовок Знак"/>
    <w:basedOn w:val="a0"/>
    <w:link w:val="a3"/>
    <w:uiPriority w:val="10"/>
    <w:rsid w:val="00E6310A"/>
    <w:rPr>
      <w:rFonts w:asciiTheme="majorHAnsi" w:eastAsiaTheme="majorEastAsia" w:hAnsiTheme="majorHAnsi" w:cstheme="majorBidi"/>
      <w:spacing w:val="-10"/>
      <w:kern w:val="28"/>
      <w:sz w:val="56"/>
      <w:szCs w:val="56"/>
    </w:rPr>
  </w:style>
  <w:style w:type="paragraph" w:styleId="a5">
    <w:name w:val="Subtitle"/>
    <w:basedOn w:val="a"/>
    <w:next w:val="a"/>
    <w:link w:val="a6"/>
    <w:pPr>
      <w:spacing w:after="160" w:line="278" w:lineRule="auto"/>
    </w:pPr>
    <w:rPr>
      <w:rFonts w:ascii="Aptos" w:eastAsia="Aptos" w:hAnsi="Aptos" w:cs="Aptos"/>
      <w:color w:val="595959"/>
      <w:sz w:val="28"/>
      <w:szCs w:val="28"/>
    </w:rPr>
  </w:style>
  <w:style w:type="character" w:customStyle="1" w:styleId="a6">
    <w:name w:val="Подзаголовок Знак"/>
    <w:basedOn w:val="a0"/>
    <w:link w:val="a5"/>
    <w:uiPriority w:val="11"/>
    <w:rsid w:val="00E631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310A"/>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22">
    <w:name w:val="Цитата 2 Знак"/>
    <w:basedOn w:val="a0"/>
    <w:link w:val="21"/>
    <w:uiPriority w:val="29"/>
    <w:rsid w:val="00E6310A"/>
    <w:rPr>
      <w:i/>
      <w:iCs/>
      <w:color w:val="404040" w:themeColor="text1" w:themeTint="BF"/>
    </w:rPr>
  </w:style>
  <w:style w:type="paragraph" w:styleId="a7">
    <w:name w:val="List Paragraph"/>
    <w:basedOn w:val="a"/>
    <w:uiPriority w:val="34"/>
    <w:qFormat/>
    <w:rsid w:val="00E6310A"/>
    <w:pPr>
      <w:suppressAutoHyphens w:val="0"/>
      <w:spacing w:after="160" w:line="278" w:lineRule="auto"/>
      <w:ind w:left="720"/>
      <w:contextualSpacing/>
    </w:pPr>
    <w:rPr>
      <w:rFonts w:asciiTheme="minorHAnsi" w:eastAsiaTheme="minorHAnsi" w:hAnsiTheme="minorHAnsi" w:cstheme="minorBidi"/>
      <w:kern w:val="2"/>
      <w:lang w:eastAsia="en-US"/>
    </w:rPr>
  </w:style>
  <w:style w:type="character" w:styleId="a8">
    <w:name w:val="Intense Emphasis"/>
    <w:basedOn w:val="a0"/>
    <w:uiPriority w:val="21"/>
    <w:qFormat/>
    <w:rsid w:val="00E6310A"/>
    <w:rPr>
      <w:i/>
      <w:iCs/>
      <w:color w:val="0F4761" w:themeColor="accent1" w:themeShade="BF"/>
    </w:rPr>
  </w:style>
  <w:style w:type="paragraph" w:styleId="a9">
    <w:name w:val="Intense Quote"/>
    <w:basedOn w:val="a"/>
    <w:next w:val="a"/>
    <w:link w:val="aa"/>
    <w:uiPriority w:val="30"/>
    <w:qFormat/>
    <w:rsid w:val="00E6310A"/>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aa">
    <w:name w:val="Выделенная цитата Знак"/>
    <w:basedOn w:val="a0"/>
    <w:link w:val="a9"/>
    <w:uiPriority w:val="30"/>
    <w:rsid w:val="00E6310A"/>
    <w:rPr>
      <w:i/>
      <w:iCs/>
      <w:color w:val="0F4761" w:themeColor="accent1" w:themeShade="BF"/>
    </w:rPr>
  </w:style>
  <w:style w:type="character" w:styleId="ab">
    <w:name w:val="Intense Reference"/>
    <w:basedOn w:val="a0"/>
    <w:uiPriority w:val="32"/>
    <w:qFormat/>
    <w:rsid w:val="00E6310A"/>
    <w:rPr>
      <w:b/>
      <w:bCs/>
      <w:smallCaps/>
      <w:color w:val="0F4761" w:themeColor="accent1" w:themeShade="BF"/>
      <w:spacing w:val="5"/>
    </w:rPr>
  </w:style>
  <w:style w:type="character" w:customStyle="1" w:styleId="tlid-translation">
    <w:name w:val="tlid-translation"/>
    <w:basedOn w:val="a0"/>
    <w:rsid w:val="001410AE"/>
  </w:style>
  <w:style w:type="paragraph" w:styleId="ac">
    <w:name w:val="Normal (Web)"/>
    <w:basedOn w:val="a"/>
    <w:uiPriority w:val="99"/>
    <w:semiHidden/>
    <w:unhideWhenUsed/>
    <w:rsid w:val="000664BD"/>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TvUeCFva6g1X83SUUo2VpK6wQ==">CgMxLjAyCGguZ2pkZ3hzOAByITFrT3JtaDA0MkJNRXlNajlqQmJXSGdoakJkZ0FvOXpvMQ==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Кантарбаева Жанна</dc:creator>
  <cp:lastModifiedBy>Microsoft Office User</cp:lastModifiedBy>
  <cp:revision>4</cp:revision>
  <dcterms:created xsi:type="dcterms:W3CDTF">2025-03-27T10:34:00Z</dcterms:created>
  <dcterms:modified xsi:type="dcterms:W3CDTF">2025-04-25T05:01:00Z</dcterms:modified>
</cp:coreProperties>
</file>